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AC7E" w14:textId="42EBC09F" w:rsidR="000775DD" w:rsidRPr="000C2AA5"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rPr>
      </w:pPr>
      <w:bookmarkStart w:id="0" w:name="_Toc473550124"/>
      <w:r>
        <w:rPr>
          <w:rFonts w:ascii="Calibri" w:hAnsi="Calibri"/>
          <w:b/>
          <w:bCs/>
          <w:sz w:val="32"/>
          <w:szCs w:val="32"/>
        </w:rPr>
        <w:t>Caminho da Cana-de-açúcar</w:t>
      </w:r>
      <w:r w:rsidR="00D142F2" w:rsidRPr="00D142F2">
        <w:rPr>
          <w:rFonts w:ascii="Calibri" w:hAnsi="Calibri"/>
          <w:b/>
          <w:bCs/>
          <w:sz w:val="32"/>
          <w:szCs w:val="32"/>
        </w:rPr>
        <w:t xml:space="preserve"> </w:t>
      </w:r>
      <w:r w:rsidR="00D142F2">
        <w:rPr>
          <w:rFonts w:ascii="Calibri" w:hAnsi="Calibri"/>
          <w:b/>
          <w:bCs/>
          <w:sz w:val="32"/>
          <w:szCs w:val="32"/>
        </w:rPr>
        <w:t xml:space="preserve">da </w:t>
      </w:r>
      <w:proofErr w:type="spellStart"/>
      <w:r w:rsidR="00D142F2">
        <w:rPr>
          <w:rFonts w:ascii="Calibri" w:hAnsi="Calibri"/>
          <w:b/>
          <w:bCs/>
          <w:sz w:val="32"/>
          <w:szCs w:val="32"/>
        </w:rPr>
        <w:t>Bonsucro</w:t>
      </w:r>
      <w:proofErr w:type="spellEnd"/>
      <w:r>
        <w:rPr>
          <w:rFonts w:ascii="Calibri" w:hAnsi="Calibri"/>
          <w:b/>
          <w:bCs/>
          <w:sz w:val="32"/>
          <w:szCs w:val="32"/>
        </w:rPr>
        <w:t xml:space="preserve">: criando um caminho coletivo para a mitigação de GEE, estabelecendo metas baseadas na ciência no </w:t>
      </w:r>
      <w:r>
        <w:rPr>
          <w:rFonts w:ascii="Calibri" w:hAnsi="Calibri"/>
          <w:b/>
          <w:bCs/>
          <w:color w:val="auto"/>
          <w:sz w:val="32"/>
          <w:szCs w:val="32"/>
        </w:rPr>
        <w:t>setor de cana-de-açúcar</w:t>
      </w:r>
    </w:p>
    <w:p w14:paraId="2408BE96" w14:textId="77777777" w:rsidR="001F6E9C" w:rsidRPr="00D142F2"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eastAsia="en-US"/>
        </w:rPr>
      </w:pPr>
    </w:p>
    <w:bookmarkEnd w:id="0"/>
    <w:p w14:paraId="7AFD6D93" w14:textId="16844A5F" w:rsidR="008629A3" w:rsidRPr="00574EC6" w:rsidRDefault="00E20A2D" w:rsidP="008629A3">
      <w:pPr>
        <w:spacing w:line="240" w:lineRule="auto"/>
        <w:jc w:val="center"/>
        <w:rPr>
          <w:rFonts w:ascii="Calibri" w:hAnsi="Calibri" w:cs="Calibri"/>
          <w:b/>
          <w:bCs/>
          <w:sz w:val="32"/>
          <w:szCs w:val="32"/>
        </w:rPr>
      </w:pPr>
      <w:r>
        <w:rPr>
          <w:rFonts w:ascii="Calibri" w:hAnsi="Calibri"/>
          <w:b/>
          <w:bCs/>
          <w:sz w:val="32"/>
          <w:szCs w:val="32"/>
        </w:rPr>
        <w:t xml:space="preserve">RASCUNHO DO </w:t>
      </w:r>
      <w:r w:rsidR="008629A3">
        <w:rPr>
          <w:rFonts w:ascii="Calibri" w:hAnsi="Calibri"/>
          <w:b/>
          <w:bCs/>
          <w:sz w:val="32"/>
          <w:szCs w:val="32"/>
        </w:rPr>
        <w:t xml:space="preserve">GUIA </w:t>
      </w:r>
      <w:r>
        <w:rPr>
          <w:rFonts w:ascii="Calibri" w:hAnsi="Calibri"/>
          <w:b/>
          <w:bCs/>
          <w:sz w:val="32"/>
          <w:szCs w:val="32"/>
        </w:rPr>
        <w:t>D</w:t>
      </w:r>
      <w:r w:rsidR="008629A3">
        <w:rPr>
          <w:rFonts w:ascii="Calibri" w:hAnsi="Calibri"/>
          <w:b/>
          <w:bCs/>
          <w:sz w:val="32"/>
          <w:szCs w:val="32"/>
        </w:rPr>
        <w:t>E DEFINIÇÃO DE METAS</w:t>
      </w:r>
    </w:p>
    <w:p w14:paraId="27314507" w14:textId="77777777" w:rsidR="008629A3" w:rsidRPr="00D142F2" w:rsidRDefault="008629A3" w:rsidP="008629A3">
      <w:pPr>
        <w:rPr>
          <w:b/>
          <w:color w:val="E5004B"/>
          <w:sz w:val="36"/>
          <w:szCs w:val="36"/>
        </w:rPr>
      </w:pPr>
    </w:p>
    <w:p w14:paraId="1B0414CB" w14:textId="347D4BFB" w:rsidR="008629A3" w:rsidRPr="00324524" w:rsidRDefault="008629A3" w:rsidP="00324524">
      <w:pPr>
        <w:widowControl/>
        <w:suppressAutoHyphens w:val="0"/>
        <w:autoSpaceDE/>
        <w:autoSpaceDN/>
        <w:adjustRightInd/>
        <w:spacing w:after="120" w:line="288" w:lineRule="auto"/>
        <w:jc w:val="both"/>
        <w:textAlignment w:val="auto"/>
        <w:rPr>
          <w:rFonts w:ascii="Calibri" w:eastAsia="Calibri" w:hAnsi="Calibri" w:cs="Calibri"/>
          <w:color w:val="6A5E5A"/>
          <w:sz w:val="28"/>
          <w:szCs w:val="28"/>
        </w:rPr>
      </w:pPr>
      <w:r w:rsidRPr="00324524">
        <w:rPr>
          <w:rFonts w:ascii="Calibri" w:hAnsi="Calibri" w:cs="Calibri"/>
          <w:color w:val="6A5E5A"/>
          <w:sz w:val="28"/>
          <w:szCs w:val="28"/>
        </w:rPr>
        <w:t>Contexto</w:t>
      </w:r>
    </w:p>
    <w:p w14:paraId="5E1A95C8" w14:textId="0DE240D6"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Depois de estabelecer a linha de base da pegada de carbono corporativa da sua empresa através da </w:t>
      </w:r>
      <w:r w:rsidR="00324524">
        <w:rPr>
          <w:rFonts w:ascii="Calibri" w:hAnsi="Calibri" w:cs="Calibri"/>
          <w:sz w:val="24"/>
          <w:szCs w:val="24"/>
          <w:highlight w:val="white"/>
        </w:rPr>
        <w:t>C</w:t>
      </w:r>
      <w:r w:rsidRPr="00324524">
        <w:rPr>
          <w:rFonts w:ascii="Calibri" w:hAnsi="Calibri" w:cs="Calibri"/>
          <w:sz w:val="24"/>
          <w:szCs w:val="24"/>
          <w:highlight w:val="white"/>
        </w:rPr>
        <w:t>alculadora</w:t>
      </w:r>
      <w:r w:rsidR="00324524">
        <w:rPr>
          <w:rFonts w:ascii="Calibri" w:hAnsi="Calibri" w:cs="Calibri"/>
          <w:sz w:val="24"/>
          <w:szCs w:val="24"/>
          <w:highlight w:val="white"/>
        </w:rPr>
        <w:t xml:space="preserve"> </w:t>
      </w:r>
      <w:proofErr w:type="spellStart"/>
      <w:r w:rsidR="00324524">
        <w:rPr>
          <w:rFonts w:ascii="Calibri" w:hAnsi="Calibri" w:cs="Calibri"/>
          <w:sz w:val="24"/>
          <w:szCs w:val="24"/>
          <w:highlight w:val="white"/>
        </w:rPr>
        <w:t>Bonsucro</w:t>
      </w:r>
      <w:proofErr w:type="spellEnd"/>
      <w:r w:rsidR="00324524">
        <w:rPr>
          <w:rFonts w:ascii="Calibri" w:hAnsi="Calibri" w:cs="Calibri"/>
          <w:sz w:val="24"/>
          <w:szCs w:val="24"/>
          <w:highlight w:val="white"/>
        </w:rPr>
        <w:t xml:space="preserve"> ou outro esquema de contabilização de carbono</w:t>
      </w:r>
      <w:r w:rsidRPr="00324524">
        <w:rPr>
          <w:rFonts w:ascii="Calibri" w:hAnsi="Calibri" w:cs="Calibri"/>
          <w:sz w:val="24"/>
          <w:szCs w:val="24"/>
          <w:highlight w:val="white"/>
        </w:rPr>
        <w:t xml:space="preserve">, a “Ferramenta </w:t>
      </w:r>
      <w:r w:rsidR="00324524">
        <w:rPr>
          <w:rFonts w:ascii="Calibri" w:hAnsi="Calibri" w:cs="Calibri"/>
          <w:sz w:val="24"/>
          <w:szCs w:val="24"/>
          <w:highlight w:val="white"/>
        </w:rPr>
        <w:t>de Definição de Metas</w:t>
      </w:r>
      <w:r w:rsidRPr="00324524">
        <w:rPr>
          <w:rFonts w:ascii="Calibri" w:hAnsi="Calibri" w:cs="Calibri"/>
          <w:sz w:val="24"/>
          <w:szCs w:val="24"/>
          <w:highlight w:val="white"/>
        </w:rPr>
        <w:t xml:space="preserve">” pode ser usada para estabelecer uma meta de redução de emissões, especificamente relativa à produção de cana-de-açúcar. </w:t>
      </w:r>
    </w:p>
    <w:p w14:paraId="3CF0FD76" w14:textId="5A958ABA"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O caminho de redução e as metas geradas pela ferramenta permitirão que sua organização estabeleça uma meta conceituada para mudança climática. Como alternativa, a ferramenta está disponível com valores padrão para usuários que não concluíram o inventário de GEE usando a </w:t>
      </w:r>
      <w:r w:rsidR="00324524">
        <w:rPr>
          <w:rFonts w:ascii="Calibri" w:hAnsi="Calibri" w:cs="Calibri"/>
          <w:sz w:val="24"/>
          <w:szCs w:val="24"/>
          <w:highlight w:val="white"/>
        </w:rPr>
        <w:t>C</w:t>
      </w:r>
      <w:r w:rsidRPr="00324524">
        <w:rPr>
          <w:rFonts w:ascii="Calibri" w:hAnsi="Calibri" w:cs="Calibri"/>
          <w:sz w:val="24"/>
          <w:szCs w:val="24"/>
          <w:highlight w:val="white"/>
        </w:rPr>
        <w:t xml:space="preserve">alculadora </w:t>
      </w:r>
      <w:proofErr w:type="spellStart"/>
      <w:r w:rsidRPr="00324524">
        <w:rPr>
          <w:rFonts w:ascii="Calibri" w:hAnsi="Calibri" w:cs="Calibri"/>
          <w:sz w:val="24"/>
          <w:szCs w:val="24"/>
          <w:highlight w:val="white"/>
        </w:rPr>
        <w:t>Bonsucro</w:t>
      </w:r>
      <w:proofErr w:type="spellEnd"/>
      <w:r w:rsidR="00324524">
        <w:rPr>
          <w:rFonts w:ascii="Calibri" w:hAnsi="Calibri" w:cs="Calibri"/>
          <w:sz w:val="24"/>
          <w:szCs w:val="24"/>
          <w:highlight w:val="white"/>
        </w:rPr>
        <w:t xml:space="preserve"> ou outro esquema de contabilização de carbono.</w:t>
      </w:r>
    </w:p>
    <w:p w14:paraId="04386F9D"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highlight w:val="white"/>
        </w:rPr>
      </w:pPr>
    </w:p>
    <w:p w14:paraId="041E820D" w14:textId="77777777" w:rsidR="008629A3" w:rsidRPr="00324524" w:rsidRDefault="008629A3" w:rsidP="00324524">
      <w:pPr>
        <w:spacing w:line="240" w:lineRule="auto"/>
        <w:jc w:val="both"/>
        <w:rPr>
          <w:rFonts w:ascii="Calibri" w:hAnsi="Calibri" w:cs="Calibri"/>
          <w:color w:val="6A5E5A"/>
          <w:sz w:val="28"/>
          <w:szCs w:val="28"/>
        </w:rPr>
      </w:pPr>
      <w:bookmarkStart w:id="1" w:name="_heading=h.30j0zll"/>
      <w:bookmarkEnd w:id="1"/>
      <w:r w:rsidRPr="00324524">
        <w:rPr>
          <w:rFonts w:ascii="Calibri" w:hAnsi="Calibri" w:cs="Calibri"/>
          <w:color w:val="6A5E5A"/>
          <w:sz w:val="28"/>
          <w:szCs w:val="28"/>
        </w:rPr>
        <w:t xml:space="preserve">O que é a iniciativa de metas baseadas na ciência? </w:t>
      </w:r>
    </w:p>
    <w:p w14:paraId="216FE00D" w14:textId="77777777" w:rsidR="008629A3" w:rsidRPr="00324524" w:rsidRDefault="008629A3" w:rsidP="00324524">
      <w:pPr>
        <w:spacing w:line="240" w:lineRule="auto"/>
        <w:jc w:val="both"/>
        <w:rPr>
          <w:rFonts w:ascii="Calibri" w:hAnsi="Calibri" w:cs="Calibri"/>
          <w:color w:val="6A5E5A"/>
          <w:sz w:val="24"/>
          <w:szCs w:val="24"/>
        </w:rPr>
      </w:pPr>
    </w:p>
    <w:p w14:paraId="5BF31675" w14:textId="2065027D"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A Iniciativa de Metas Baseadas na Ciência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em inglês) é uma das principais iniciativas que fornece uma estrutura técnica e orientação para as empresas reduzirem suas emissões de gases de efeito estufa (GEE), ajudando a impedir os piores impactos da mudança climática e a proteger a expansão dos negócios contra eventos futuros. As metas são consideradas 'baseadas na ciência' se estiverem alinhadas com o que a ciência climática atual considera necessário para atingir os objetivos do Acordo de Paris – limitar o aquecimento global a bem menos de 2°C acima dos níveis pré-industriais e envidar esforços para limitar o aquecimento a 1,5°C. Uma meta baseada na ciência é uma mudança de paradigma para a maioria das empresas. A meta não envolve a redução de emissões de GEE que você ac</w:t>
      </w:r>
      <w:r w:rsidR="00D142F2" w:rsidRPr="00324524">
        <w:rPr>
          <w:rFonts w:ascii="Calibri" w:hAnsi="Calibri" w:cs="Calibri"/>
          <w:sz w:val="24"/>
          <w:szCs w:val="24"/>
          <w:highlight w:val="white"/>
        </w:rPr>
        <w:t>redita</w:t>
      </w:r>
      <w:r w:rsidRPr="00324524">
        <w:rPr>
          <w:rFonts w:ascii="Calibri" w:hAnsi="Calibri" w:cs="Calibri"/>
          <w:sz w:val="24"/>
          <w:szCs w:val="24"/>
          <w:highlight w:val="white"/>
        </w:rPr>
        <w:t xml:space="preserve"> que pode alcançar, mas que redução precisa ser atingida para evitar os piores efeitos das mudanças climáticas.</w:t>
      </w:r>
    </w:p>
    <w:p w14:paraId="17B16823" w14:textId="77777777" w:rsidR="008629A3" w:rsidRPr="00324524" w:rsidRDefault="008629A3" w:rsidP="00324524">
      <w:pPr>
        <w:spacing w:line="240" w:lineRule="auto"/>
        <w:jc w:val="both"/>
        <w:rPr>
          <w:rFonts w:ascii="Calibri" w:hAnsi="Calibri" w:cs="Calibri"/>
          <w:sz w:val="24"/>
          <w:szCs w:val="24"/>
          <w:highlight w:val="white"/>
        </w:rPr>
      </w:pPr>
    </w:p>
    <w:p w14:paraId="0BF4D432" w14:textId="6F0DF931"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foi lançada em 2015 pelo </w:t>
      </w:r>
      <w:proofErr w:type="spellStart"/>
      <w:r w:rsidRPr="00324524">
        <w:rPr>
          <w:rFonts w:ascii="Calibri" w:hAnsi="Calibri" w:cs="Calibri"/>
          <w:sz w:val="24"/>
          <w:szCs w:val="24"/>
          <w:highlight w:val="white"/>
        </w:rPr>
        <w:t>Carbon</w:t>
      </w:r>
      <w:proofErr w:type="spellEnd"/>
      <w:r w:rsidRPr="00324524">
        <w:rPr>
          <w:rFonts w:ascii="Calibri" w:hAnsi="Calibri" w:cs="Calibri"/>
          <w:sz w:val="24"/>
          <w:szCs w:val="24"/>
          <w:highlight w:val="white"/>
        </w:rPr>
        <w:t xml:space="preserve"> </w:t>
      </w:r>
      <w:proofErr w:type="spellStart"/>
      <w:r w:rsidRPr="00324524">
        <w:rPr>
          <w:rFonts w:ascii="Calibri" w:hAnsi="Calibri" w:cs="Calibri"/>
          <w:sz w:val="24"/>
          <w:szCs w:val="24"/>
          <w:highlight w:val="white"/>
        </w:rPr>
        <w:t>Disclosure</w:t>
      </w:r>
      <w:proofErr w:type="spellEnd"/>
      <w:r w:rsidRPr="00324524">
        <w:rPr>
          <w:rFonts w:ascii="Calibri" w:hAnsi="Calibri" w:cs="Calibri"/>
          <w:sz w:val="24"/>
          <w:szCs w:val="24"/>
          <w:highlight w:val="white"/>
        </w:rPr>
        <w:t xml:space="preserve"> Project (CDP), UN Global </w:t>
      </w:r>
      <w:proofErr w:type="spellStart"/>
      <w:r w:rsidRPr="00324524">
        <w:rPr>
          <w:rFonts w:ascii="Calibri" w:hAnsi="Calibri" w:cs="Calibri"/>
          <w:sz w:val="24"/>
          <w:szCs w:val="24"/>
          <w:highlight w:val="white"/>
        </w:rPr>
        <w:t>Compact</w:t>
      </w:r>
      <w:proofErr w:type="spellEnd"/>
      <w:r w:rsidRPr="00324524">
        <w:rPr>
          <w:rFonts w:ascii="Calibri" w:hAnsi="Calibri" w:cs="Calibri"/>
          <w:sz w:val="24"/>
          <w:szCs w:val="24"/>
          <w:highlight w:val="white"/>
        </w:rPr>
        <w:t xml:space="preserve">, World </w:t>
      </w:r>
      <w:proofErr w:type="spellStart"/>
      <w:r w:rsidRPr="00324524">
        <w:rPr>
          <w:rFonts w:ascii="Calibri" w:hAnsi="Calibri" w:cs="Calibri"/>
          <w:sz w:val="24"/>
          <w:szCs w:val="24"/>
          <w:highlight w:val="white"/>
        </w:rPr>
        <w:t>Resources</w:t>
      </w:r>
      <w:proofErr w:type="spellEnd"/>
      <w:r w:rsidRPr="00324524">
        <w:rPr>
          <w:rFonts w:ascii="Calibri" w:hAnsi="Calibri" w:cs="Calibri"/>
          <w:sz w:val="24"/>
          <w:szCs w:val="24"/>
          <w:highlight w:val="white"/>
        </w:rPr>
        <w:t xml:space="preserve"> </w:t>
      </w:r>
      <w:proofErr w:type="spellStart"/>
      <w:r w:rsidRPr="00324524">
        <w:rPr>
          <w:rFonts w:ascii="Calibri" w:hAnsi="Calibri" w:cs="Calibri"/>
          <w:sz w:val="24"/>
          <w:szCs w:val="24"/>
          <w:highlight w:val="white"/>
        </w:rPr>
        <w:t>Institute</w:t>
      </w:r>
      <w:proofErr w:type="spellEnd"/>
      <w:r w:rsidRPr="00324524">
        <w:rPr>
          <w:rFonts w:ascii="Calibri" w:hAnsi="Calibri" w:cs="Calibri"/>
          <w:sz w:val="24"/>
          <w:szCs w:val="24"/>
          <w:highlight w:val="white"/>
        </w:rPr>
        <w:t xml:space="preserve"> (WRI) e World </w:t>
      </w:r>
      <w:proofErr w:type="spellStart"/>
      <w:r w:rsidRPr="00324524">
        <w:rPr>
          <w:rFonts w:ascii="Calibri" w:hAnsi="Calibri" w:cs="Calibri"/>
          <w:sz w:val="24"/>
          <w:szCs w:val="24"/>
          <w:highlight w:val="white"/>
        </w:rPr>
        <w:t>Wildlife</w:t>
      </w:r>
      <w:proofErr w:type="spellEnd"/>
      <w:r w:rsidRPr="00324524">
        <w:rPr>
          <w:rFonts w:ascii="Calibri" w:hAnsi="Calibri" w:cs="Calibri"/>
          <w:sz w:val="24"/>
          <w:szCs w:val="24"/>
          <w:highlight w:val="white"/>
        </w:rPr>
        <w:t xml:space="preserve"> Fund (WWF) e é usualmente considerada um padrão robusto para estabelecer metas climáticas corporativas. Em maio de 2023, havia mais de 5.000 empresas </w:t>
      </w:r>
      <w:r w:rsidR="004120DC" w:rsidRPr="00324524">
        <w:rPr>
          <w:rFonts w:ascii="Calibri" w:hAnsi="Calibri" w:cs="Calibri"/>
          <w:sz w:val="24"/>
          <w:szCs w:val="24"/>
          <w:highlight w:val="white"/>
        </w:rPr>
        <w:t>no processo de adoção d</w:t>
      </w:r>
      <w:r w:rsidRPr="00324524">
        <w:rPr>
          <w:rFonts w:ascii="Calibri" w:hAnsi="Calibri" w:cs="Calibri"/>
          <w:sz w:val="24"/>
          <w:szCs w:val="24"/>
          <w:highlight w:val="white"/>
        </w:rPr>
        <w:t xml:space="preserve">a iniciativa, que normalmente compreende cinco etapas principais:  </w:t>
      </w:r>
    </w:p>
    <w:p w14:paraId="4A7D2E99" w14:textId="77777777" w:rsidR="008629A3" w:rsidRPr="00324524" w:rsidRDefault="008629A3" w:rsidP="00324524">
      <w:pPr>
        <w:spacing w:line="240" w:lineRule="auto"/>
        <w:jc w:val="both"/>
        <w:rPr>
          <w:rFonts w:ascii="Calibri" w:hAnsi="Calibri" w:cs="Calibri"/>
          <w:sz w:val="24"/>
          <w:szCs w:val="24"/>
          <w:highlight w:val="white"/>
        </w:rPr>
      </w:pPr>
    </w:p>
    <w:p w14:paraId="3F717268" w14:textId="3C9838B1" w:rsidR="008629A3" w:rsidRDefault="008629A3" w:rsidP="00324524">
      <w:pPr>
        <w:spacing w:line="240" w:lineRule="auto"/>
        <w:jc w:val="both"/>
        <w:rPr>
          <w:rFonts w:ascii="Calibri" w:hAnsi="Calibri" w:cs="Calibri"/>
          <w:sz w:val="24"/>
          <w:szCs w:val="24"/>
        </w:rPr>
      </w:pPr>
    </w:p>
    <w:p w14:paraId="61961FEC" w14:textId="77777777" w:rsidR="00324524" w:rsidRDefault="00324524" w:rsidP="00324524">
      <w:pPr>
        <w:spacing w:line="240" w:lineRule="auto"/>
        <w:jc w:val="both"/>
        <w:rPr>
          <w:rFonts w:ascii="Calibri" w:hAnsi="Calibri" w:cs="Calibri"/>
          <w:sz w:val="24"/>
          <w:szCs w:val="24"/>
        </w:rPr>
      </w:pPr>
    </w:p>
    <w:p w14:paraId="51D6B20A" w14:textId="77777777" w:rsidR="00324524" w:rsidRDefault="00324524" w:rsidP="00324524">
      <w:pPr>
        <w:spacing w:line="240" w:lineRule="auto"/>
        <w:jc w:val="both"/>
        <w:rPr>
          <w:rFonts w:ascii="Calibri" w:hAnsi="Calibri" w:cs="Calibri"/>
          <w:sz w:val="24"/>
          <w:szCs w:val="24"/>
        </w:rPr>
      </w:pPr>
    </w:p>
    <w:p w14:paraId="2075F6EB" w14:textId="77777777" w:rsidR="00324524" w:rsidRDefault="00324524" w:rsidP="00324524">
      <w:pPr>
        <w:spacing w:line="240" w:lineRule="auto"/>
        <w:jc w:val="both"/>
        <w:rPr>
          <w:rFonts w:ascii="Calibri" w:hAnsi="Calibri" w:cs="Calibri"/>
          <w:sz w:val="24"/>
          <w:szCs w:val="24"/>
        </w:rPr>
      </w:pPr>
    </w:p>
    <w:p w14:paraId="36AA11B4" w14:textId="55E307A3" w:rsidR="00324524" w:rsidRPr="00324524" w:rsidRDefault="00745847" w:rsidP="00324524">
      <w:pPr>
        <w:spacing w:line="240" w:lineRule="auto"/>
        <w:jc w:val="both"/>
        <w:rPr>
          <w:rFonts w:ascii="Calibri" w:hAnsi="Calibri" w:cs="Calibri"/>
          <w:sz w:val="24"/>
          <w:szCs w:val="24"/>
        </w:rPr>
      </w:pPr>
      <w:r>
        <w:rPr>
          <w:rFonts w:ascii="Calibri" w:hAnsi="Calibri" w:cs="Calibri"/>
          <w:noProof/>
          <w:sz w:val="24"/>
          <w:szCs w:val="24"/>
        </w:rPr>
        <w:lastRenderedPageBreak/>
        <w:drawing>
          <wp:inline distT="0" distB="0" distL="0" distR="0" wp14:anchorId="01A8EC6F" wp14:editId="1F4B5C3B">
            <wp:extent cx="5731510" cy="2372995"/>
            <wp:effectExtent l="0" t="0" r="0" b="1905"/>
            <wp:docPr id="1989425117" name="Imagem 1"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425117" name="Imagem 1" descr="Uma imagem contendo Linha do temp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731510" cy="2372995"/>
                    </a:xfrm>
                    <a:prstGeom prst="rect">
                      <a:avLst/>
                    </a:prstGeom>
                  </pic:spPr>
                </pic:pic>
              </a:graphicData>
            </a:graphic>
          </wp:inline>
        </w:drawing>
      </w:r>
    </w:p>
    <w:p w14:paraId="7E651100" w14:textId="77777777" w:rsidR="00745847" w:rsidRDefault="00745847" w:rsidP="00324524">
      <w:pPr>
        <w:pBdr>
          <w:top w:val="nil"/>
          <w:left w:val="nil"/>
          <w:bottom w:val="nil"/>
          <w:right w:val="nil"/>
          <w:between w:val="nil"/>
        </w:pBdr>
        <w:spacing w:line="240" w:lineRule="auto"/>
        <w:jc w:val="both"/>
        <w:rPr>
          <w:rFonts w:ascii="Calibri" w:hAnsi="Calibri" w:cs="Calibri"/>
          <w:sz w:val="24"/>
          <w:szCs w:val="24"/>
          <w:highlight w:val="white"/>
        </w:rPr>
      </w:pPr>
    </w:p>
    <w:p w14:paraId="7E3EDCEA" w14:textId="291DFC4E" w:rsidR="008629A3"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Os padrões e critérios da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para o desenvolvimento de metas estão amplamente disponíveis ao público, no entanto, para estabelecer uma meta oficialmente validada pela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como “baseada na ciência”</w:t>
      </w:r>
      <w:r w:rsidR="004120DC" w:rsidRPr="00324524">
        <w:rPr>
          <w:rFonts w:ascii="Calibri" w:hAnsi="Calibri" w:cs="Calibri"/>
          <w:sz w:val="24"/>
          <w:szCs w:val="24"/>
          <w:highlight w:val="white"/>
        </w:rPr>
        <w:t>,</w:t>
      </w:r>
      <w:r w:rsidRPr="00324524">
        <w:rPr>
          <w:rFonts w:ascii="Calibri" w:hAnsi="Calibri" w:cs="Calibri"/>
          <w:sz w:val="24"/>
          <w:szCs w:val="24"/>
          <w:highlight w:val="white"/>
        </w:rPr>
        <w:t xml:space="preserve"> os critérios e o processo devem ser monitorados de perto, e uma taxa é cobrada para a realização de uma revisão oficial. </w:t>
      </w:r>
    </w:p>
    <w:p w14:paraId="682AA4D3" w14:textId="77777777" w:rsidR="00745847" w:rsidRPr="00324524" w:rsidRDefault="00745847" w:rsidP="00324524">
      <w:pPr>
        <w:pBdr>
          <w:top w:val="nil"/>
          <w:left w:val="nil"/>
          <w:bottom w:val="nil"/>
          <w:right w:val="nil"/>
          <w:between w:val="nil"/>
        </w:pBdr>
        <w:spacing w:line="240" w:lineRule="auto"/>
        <w:jc w:val="both"/>
        <w:rPr>
          <w:rFonts w:ascii="Calibri" w:hAnsi="Calibri" w:cs="Calibri"/>
          <w:sz w:val="24"/>
          <w:szCs w:val="24"/>
          <w:highlight w:val="white"/>
        </w:rPr>
      </w:pPr>
    </w:p>
    <w:p w14:paraId="4CADF4BE" w14:textId="6FD4524F" w:rsidR="008629A3"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Este guia analisa os padrões da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w:t>
      </w:r>
      <w:r w:rsidR="004120DC" w:rsidRPr="00324524">
        <w:rPr>
          <w:rFonts w:ascii="Calibri" w:hAnsi="Calibri" w:cs="Calibri"/>
          <w:sz w:val="24"/>
          <w:szCs w:val="24"/>
          <w:highlight w:val="white"/>
        </w:rPr>
        <w:t>no</w:t>
      </w:r>
      <w:r w:rsidRPr="00324524">
        <w:rPr>
          <w:rFonts w:ascii="Calibri" w:hAnsi="Calibri" w:cs="Calibri"/>
          <w:sz w:val="24"/>
          <w:szCs w:val="24"/>
          <w:highlight w:val="white"/>
        </w:rPr>
        <w:t xml:space="preserve"> nível</w:t>
      </w:r>
      <w:r w:rsidR="004120DC" w:rsidRPr="00324524">
        <w:rPr>
          <w:rFonts w:ascii="Calibri" w:hAnsi="Calibri" w:cs="Calibri"/>
          <w:sz w:val="24"/>
          <w:szCs w:val="24"/>
          <w:highlight w:val="white"/>
        </w:rPr>
        <w:t xml:space="preserve"> macro</w:t>
      </w:r>
      <w:r w:rsidRPr="00324524">
        <w:rPr>
          <w:rFonts w:ascii="Calibri" w:hAnsi="Calibri" w:cs="Calibri"/>
          <w:sz w:val="24"/>
          <w:szCs w:val="24"/>
          <w:highlight w:val="white"/>
        </w:rPr>
        <w:t xml:space="preserve"> e se concentra principalmente na ferramenta exclusiva da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xml:space="preserve"> para estabelecer metas de redução para a cana-de-açúcar em consonância com 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w:t>
      </w:r>
    </w:p>
    <w:p w14:paraId="35D3E1DE" w14:textId="77777777" w:rsidR="00745847" w:rsidRPr="00324524" w:rsidRDefault="00745847" w:rsidP="00324524">
      <w:pPr>
        <w:pBdr>
          <w:top w:val="nil"/>
          <w:left w:val="nil"/>
          <w:bottom w:val="nil"/>
          <w:right w:val="nil"/>
          <w:between w:val="nil"/>
        </w:pBdr>
        <w:spacing w:line="240" w:lineRule="auto"/>
        <w:jc w:val="both"/>
        <w:rPr>
          <w:rFonts w:ascii="Calibri" w:hAnsi="Calibri" w:cs="Calibri"/>
          <w:sz w:val="24"/>
          <w:szCs w:val="24"/>
          <w:highlight w:val="white"/>
        </w:rPr>
      </w:pPr>
    </w:p>
    <w:p w14:paraId="4893010D"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highlight w:val="white"/>
        </w:rPr>
      </w:pPr>
      <w:r w:rsidRPr="00324524">
        <w:rPr>
          <w:rFonts w:ascii="Calibri" w:hAnsi="Calibri" w:cs="Calibri"/>
          <w:sz w:val="24"/>
          <w:szCs w:val="24"/>
          <w:highlight w:val="white"/>
        </w:rPr>
        <w:t>Se sua organização requer validação oficial, aconselhamos fortemente que revise os padrões mais recentes no</w:t>
      </w:r>
      <w:r w:rsidRPr="00324524">
        <w:rPr>
          <w:rFonts w:ascii="Calibri" w:hAnsi="Calibri" w:cs="Calibri"/>
          <w:color w:val="000000"/>
          <w:sz w:val="24"/>
          <w:szCs w:val="24"/>
          <w:highlight w:val="white"/>
        </w:rPr>
        <w:t xml:space="preserve"> </w:t>
      </w:r>
      <w:hyperlink r:id="rId11">
        <w:r w:rsidRPr="00324524">
          <w:rPr>
            <w:rFonts w:ascii="Calibri" w:hAnsi="Calibri" w:cs="Calibri"/>
            <w:color w:val="1155CC"/>
            <w:sz w:val="24"/>
            <w:szCs w:val="24"/>
            <w:u w:val="single"/>
          </w:rPr>
          <w:t xml:space="preserve">Site da </w:t>
        </w:r>
        <w:proofErr w:type="spellStart"/>
        <w:r w:rsidRPr="00324524">
          <w:rPr>
            <w:rFonts w:ascii="Calibri" w:hAnsi="Calibri" w:cs="Calibri"/>
            <w:color w:val="1155CC"/>
            <w:sz w:val="24"/>
            <w:szCs w:val="24"/>
            <w:u w:val="single"/>
          </w:rPr>
          <w:t>SBTi</w:t>
        </w:r>
        <w:proofErr w:type="spellEnd"/>
      </w:hyperlink>
      <w:r w:rsidRPr="00324524">
        <w:rPr>
          <w:rFonts w:ascii="Calibri" w:hAnsi="Calibri" w:cs="Calibri"/>
          <w:color w:val="202124"/>
          <w:sz w:val="24"/>
          <w:szCs w:val="24"/>
        </w:rPr>
        <w:t>.</w:t>
      </w:r>
    </w:p>
    <w:p w14:paraId="0A91679D" w14:textId="5AA85F04" w:rsidR="008629A3" w:rsidRPr="00745847" w:rsidRDefault="008629A3" w:rsidP="00324524">
      <w:pPr>
        <w:keepNext/>
        <w:keepLines/>
        <w:widowControl/>
        <w:numPr>
          <w:ilvl w:val="0"/>
          <w:numId w:val="13"/>
        </w:numPr>
        <w:suppressAutoHyphens w:val="0"/>
        <w:autoSpaceDE/>
        <w:autoSpaceDN/>
        <w:adjustRightInd/>
        <w:spacing w:before="480" w:after="240" w:line="288" w:lineRule="auto"/>
        <w:jc w:val="both"/>
        <w:textAlignment w:val="auto"/>
        <w:outlineLvl w:val="1"/>
        <w:rPr>
          <w:rFonts w:ascii="Calibri" w:hAnsi="Calibri" w:cs="Calibri"/>
          <w:color w:val="6A5E5A"/>
          <w:sz w:val="28"/>
          <w:szCs w:val="28"/>
        </w:rPr>
      </w:pPr>
      <w:r w:rsidRPr="00745847">
        <w:rPr>
          <w:rFonts w:ascii="Calibri" w:hAnsi="Calibri" w:cs="Calibri"/>
          <w:color w:val="6A5E5A"/>
          <w:sz w:val="28"/>
          <w:szCs w:val="28"/>
        </w:rPr>
        <w:t>Requisitos para definir metas</w:t>
      </w:r>
      <w:r w:rsidR="004120DC" w:rsidRPr="00745847">
        <w:rPr>
          <w:rFonts w:ascii="Calibri" w:hAnsi="Calibri" w:cs="Calibri"/>
          <w:color w:val="6A5E5A"/>
          <w:sz w:val="28"/>
          <w:szCs w:val="28"/>
        </w:rPr>
        <w:t xml:space="preserve"> baseadas</w:t>
      </w:r>
      <w:r w:rsidRPr="00745847">
        <w:rPr>
          <w:rFonts w:ascii="Calibri" w:hAnsi="Calibri" w:cs="Calibri"/>
          <w:color w:val="6A5E5A"/>
          <w:sz w:val="28"/>
          <w:szCs w:val="28"/>
        </w:rPr>
        <w:t xml:space="preserve"> na ciência</w:t>
      </w:r>
    </w:p>
    <w:p w14:paraId="66C4CA86" w14:textId="049E9218"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Para validação oficial, como requisito mínimo, as empresas que compram ou fornecem cana-de-açúcar são obrigadas a definir três metas separadas com base científica para reduzir as emissões, incluindo</w:t>
      </w:r>
      <w:r w:rsidR="004120DC" w:rsidRPr="00324524">
        <w:rPr>
          <w:rFonts w:ascii="Calibri" w:hAnsi="Calibri" w:cs="Calibri"/>
          <w:sz w:val="24"/>
          <w:szCs w:val="24"/>
          <w:highlight w:val="white"/>
        </w:rPr>
        <w:t>:</w:t>
      </w:r>
      <w:r w:rsidRPr="00324524">
        <w:rPr>
          <w:rFonts w:ascii="Calibri" w:hAnsi="Calibri" w:cs="Calibri"/>
          <w:sz w:val="24"/>
          <w:szCs w:val="24"/>
          <w:highlight w:val="white"/>
        </w:rPr>
        <w:t xml:space="preserve"> </w:t>
      </w:r>
    </w:p>
    <w:p w14:paraId="269A517F" w14:textId="77777777" w:rsidR="008629A3" w:rsidRPr="00324524" w:rsidRDefault="008629A3" w:rsidP="00324524">
      <w:pPr>
        <w:spacing w:line="240" w:lineRule="auto"/>
        <w:jc w:val="both"/>
        <w:rPr>
          <w:rFonts w:ascii="Calibri" w:hAnsi="Calibri" w:cs="Calibri"/>
          <w:sz w:val="24"/>
          <w:szCs w:val="24"/>
          <w:highlight w:val="white"/>
        </w:rPr>
      </w:pPr>
    </w:p>
    <w:p w14:paraId="09352E50" w14:textId="77777777" w:rsidR="008629A3" w:rsidRPr="00324524" w:rsidRDefault="008629A3" w:rsidP="0032452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Escopos 1 &amp; 2.</w:t>
      </w:r>
      <w:r w:rsidRPr="00324524">
        <w:rPr>
          <w:rFonts w:ascii="Calibri" w:hAnsi="Calibri" w:cs="Calibri"/>
          <w:sz w:val="24"/>
          <w:szCs w:val="24"/>
          <w:highlight w:val="white"/>
        </w:rPr>
        <w:t xml:space="preserve"> Meta de redução de emissões dos escopos 1 e 2 que aborda as emissões de atividades como gás natural e uso de eletricidade em instalações de manufatura próprias. </w:t>
      </w:r>
    </w:p>
    <w:p w14:paraId="583E56E1" w14:textId="77777777" w:rsidR="008629A3" w:rsidRPr="00324524" w:rsidRDefault="008629A3" w:rsidP="0032452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Escopo 3.</w:t>
      </w:r>
      <w:r w:rsidRPr="00324524">
        <w:rPr>
          <w:rFonts w:ascii="Calibri" w:hAnsi="Calibri" w:cs="Calibri"/>
          <w:sz w:val="24"/>
          <w:szCs w:val="24"/>
          <w:highlight w:val="white"/>
        </w:rPr>
        <w:t xml:space="preserve"> Uma meta de redução do escopo 3 que aborda as emissões de atividades como transporte de produtos, resíduos e emissões indiretas de deslocamento ou viagens de negócios. Esse objetivo pode ser combinado com os escopos 1 e 2, produzindo uma meta geral, mas geralmente é separada. </w:t>
      </w:r>
    </w:p>
    <w:p w14:paraId="6A97C8D5" w14:textId="2B2F93D2" w:rsidR="008629A3" w:rsidRPr="00324524" w:rsidRDefault="008629A3" w:rsidP="0032452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FLAG*.</w:t>
      </w:r>
      <w:r w:rsidRPr="00324524">
        <w:rPr>
          <w:rFonts w:ascii="Calibri" w:hAnsi="Calibri" w:cs="Calibri"/>
          <w:sz w:val="24"/>
          <w:szCs w:val="24"/>
          <w:highlight w:val="white"/>
        </w:rPr>
        <w:t xml:space="preserve"> Por fim, é necessária uma meta que aborde explicitamente as emissões provenientes de florestas, terras e atividades agrícolas</w:t>
      </w:r>
      <w:r w:rsidR="00042E0E" w:rsidRPr="00324524">
        <w:rPr>
          <w:rFonts w:ascii="Calibri" w:hAnsi="Calibri" w:cs="Calibri"/>
          <w:sz w:val="24"/>
          <w:szCs w:val="24"/>
          <w:highlight w:val="white"/>
        </w:rPr>
        <w:t xml:space="preserve"> (sigla do inglês FLAG)</w:t>
      </w:r>
      <w:r w:rsidRPr="00324524">
        <w:rPr>
          <w:rFonts w:ascii="Calibri" w:hAnsi="Calibri" w:cs="Calibri"/>
          <w:sz w:val="24"/>
          <w:szCs w:val="24"/>
          <w:highlight w:val="white"/>
        </w:rPr>
        <w:t>.</w:t>
      </w:r>
    </w:p>
    <w:p w14:paraId="5C007E13" w14:textId="77777777" w:rsidR="008629A3" w:rsidRPr="00324524" w:rsidRDefault="008629A3" w:rsidP="00324524">
      <w:pPr>
        <w:spacing w:line="240" w:lineRule="auto"/>
        <w:jc w:val="both"/>
        <w:rPr>
          <w:rFonts w:ascii="Calibri" w:hAnsi="Calibri" w:cs="Calibri"/>
          <w:sz w:val="24"/>
          <w:szCs w:val="24"/>
          <w:highlight w:val="white"/>
        </w:rPr>
      </w:pPr>
    </w:p>
    <w:p w14:paraId="19F191EB"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color w:val="202124"/>
          <w:sz w:val="24"/>
          <w:szCs w:val="24"/>
        </w:rPr>
        <w:lastRenderedPageBreak/>
        <w:t>*</w:t>
      </w:r>
      <w:r w:rsidRPr="00324524">
        <w:rPr>
          <w:rFonts w:ascii="Calibri" w:hAnsi="Calibri" w:cs="Calibri"/>
          <w:sz w:val="24"/>
          <w:szCs w:val="24"/>
        </w:rPr>
        <w:t xml:space="preserve"> </w:t>
      </w:r>
      <w:r w:rsidRPr="00324524">
        <w:rPr>
          <w:rFonts w:ascii="Calibri" w:hAnsi="Calibri" w:cs="Calibri"/>
          <w:sz w:val="24"/>
          <w:szCs w:val="24"/>
          <w:highlight w:val="white"/>
        </w:rPr>
        <w:t>A ferramenta do caminho de emissões da cana-de-açúcar dedica-se apenas ao desenvolvimento de uma meta específica para as emissões FLAG. </w:t>
      </w:r>
    </w:p>
    <w:p w14:paraId="6377B73D" w14:textId="77777777" w:rsidR="008629A3" w:rsidRPr="00324524" w:rsidRDefault="008629A3" w:rsidP="00324524">
      <w:pPr>
        <w:spacing w:line="240" w:lineRule="auto"/>
        <w:jc w:val="both"/>
        <w:rPr>
          <w:rFonts w:ascii="Calibri" w:hAnsi="Calibri" w:cs="Calibri"/>
          <w:sz w:val="24"/>
          <w:szCs w:val="24"/>
          <w:highlight w:val="white"/>
        </w:rPr>
      </w:pPr>
    </w:p>
    <w:p w14:paraId="02BD9B52" w14:textId="101B0842"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Para todas essas metas, é importante medir e estabelecer primeiro um ano-base das emissões, pois esse será o principal dado de entrada para qualquer desenvolvimento de meta. </w:t>
      </w:r>
    </w:p>
    <w:p w14:paraId="3EFC4B71" w14:textId="77777777" w:rsidR="008629A3" w:rsidRPr="00324524" w:rsidRDefault="008629A3" w:rsidP="00324524">
      <w:pPr>
        <w:spacing w:line="240" w:lineRule="auto"/>
        <w:jc w:val="both"/>
        <w:rPr>
          <w:rFonts w:ascii="Calibri" w:hAnsi="Calibri" w:cs="Calibri"/>
          <w:sz w:val="24"/>
          <w:szCs w:val="24"/>
          <w:highlight w:val="white"/>
        </w:rPr>
      </w:pPr>
    </w:p>
    <w:p w14:paraId="6FE6FFCC"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Também é importante determinar o volume de emissões a ser incluído nas metas, bem como estabelecer um ano-alvo de acordo com os requisitos da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Em um nível macro, esses requisitos englobam:    </w:t>
      </w:r>
    </w:p>
    <w:p w14:paraId="0BF02C79" w14:textId="77777777" w:rsidR="008629A3" w:rsidRPr="00324524" w:rsidRDefault="008629A3" w:rsidP="00324524">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Um ano-base.</w:t>
      </w:r>
      <w:r w:rsidRPr="00324524">
        <w:rPr>
          <w:rFonts w:ascii="Calibri" w:hAnsi="Calibri" w:cs="Calibri"/>
          <w:sz w:val="24"/>
          <w:szCs w:val="24"/>
          <w:highlight w:val="white"/>
        </w:rPr>
        <w:t xml:space="preserve"> Seu ano-base de emissões não deve ser anterior a 2015 e é recomendável que seja o mesmo em todos os escopos, incluindo FLAG. Recomenda-se usar os dados de seu inventário de emissões mais recente como ano-base. </w:t>
      </w:r>
    </w:p>
    <w:p w14:paraId="17E6DF13" w14:textId="77777777" w:rsidR="008629A3" w:rsidRPr="00324524" w:rsidRDefault="008629A3" w:rsidP="00324524">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Ano-alvo.</w:t>
      </w:r>
      <w:r w:rsidRPr="00324524">
        <w:rPr>
          <w:rFonts w:ascii="Calibri" w:hAnsi="Calibri" w:cs="Calibri"/>
          <w:sz w:val="24"/>
          <w:szCs w:val="24"/>
          <w:highlight w:val="white"/>
        </w:rPr>
        <w:t xml:space="preserve"> As empresas têm a opção de definir somente “metas de curto prazo”, que devem ser de 5 a 10 anos a partir do ano em que seus objetivos são apresentados, bem como “metas de longo prazo” que alcancem reduções até 2050. </w:t>
      </w:r>
    </w:p>
    <w:p w14:paraId="0F088976" w14:textId="63E0AE9A" w:rsidR="008629A3" w:rsidRPr="00324524" w:rsidRDefault="008629A3" w:rsidP="00324524">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b/>
          <w:sz w:val="24"/>
          <w:szCs w:val="24"/>
          <w:highlight w:val="white"/>
        </w:rPr>
        <w:t>Emissões incluídas.</w:t>
      </w:r>
      <w:r w:rsidRPr="00324524">
        <w:rPr>
          <w:rFonts w:ascii="Calibri" w:hAnsi="Calibri" w:cs="Calibri"/>
          <w:sz w:val="24"/>
          <w:szCs w:val="24"/>
          <w:highlight w:val="white"/>
        </w:rPr>
        <w:t xml:space="preserve"> Existem requisitos diferentes para metas de curto e longo prazo em termos da quantidade de emissões que precisam ser endereçadas nos objetivos. Esses requisitos também variam de acordo com o escopo. Para as metas FLAG de curto prazo, apenas 67% das emissões precisam ser abordadas na definição da meta; entretanto, para metas de longo prazo, 90% das emissões precisam estar incluídas. Por outro lado, esses são apenas os limites mínimos e uma empresa pode escolher qualquer porcentagem de emissões acima do patamar mínimo. </w:t>
      </w:r>
    </w:p>
    <w:p w14:paraId="558E3820" w14:textId="77777777" w:rsidR="008629A3" w:rsidRPr="00324524" w:rsidRDefault="008629A3" w:rsidP="00324524">
      <w:pPr>
        <w:spacing w:line="240" w:lineRule="auto"/>
        <w:jc w:val="both"/>
        <w:rPr>
          <w:rFonts w:ascii="Calibri" w:hAnsi="Calibri" w:cs="Calibri"/>
          <w:sz w:val="24"/>
          <w:szCs w:val="24"/>
          <w:highlight w:val="white"/>
        </w:rPr>
      </w:pPr>
    </w:p>
    <w:p w14:paraId="58CD40CF" w14:textId="77777777" w:rsidR="008629A3" w:rsidRPr="00324524" w:rsidRDefault="008629A3" w:rsidP="00324524">
      <w:pPr>
        <w:spacing w:line="240" w:lineRule="auto"/>
        <w:jc w:val="both"/>
        <w:rPr>
          <w:rFonts w:ascii="Calibri" w:hAnsi="Calibri" w:cs="Calibri"/>
          <w:sz w:val="24"/>
          <w:szCs w:val="24"/>
          <w:highlight w:val="white"/>
        </w:rPr>
      </w:pPr>
    </w:p>
    <w:p w14:paraId="0FE79B8C"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4E8AEB4B" w14:textId="4102B223" w:rsidR="008629A3" w:rsidRPr="00745847" w:rsidRDefault="00042E0E" w:rsidP="00324524">
      <w:pPr>
        <w:pStyle w:val="ListParagraph"/>
        <w:numPr>
          <w:ilvl w:val="0"/>
          <w:numId w:val="13"/>
        </w:numPr>
        <w:pBdr>
          <w:top w:val="nil"/>
          <w:left w:val="nil"/>
          <w:bottom w:val="nil"/>
          <w:right w:val="nil"/>
          <w:between w:val="nil"/>
        </w:pBdr>
        <w:spacing w:line="240" w:lineRule="auto"/>
        <w:jc w:val="both"/>
        <w:rPr>
          <w:rFonts w:ascii="Calibri" w:hAnsi="Calibri" w:cs="Calibri"/>
          <w:color w:val="6A5E5A"/>
          <w:sz w:val="28"/>
          <w:szCs w:val="28"/>
        </w:rPr>
      </w:pPr>
      <w:r w:rsidRPr="00745847">
        <w:rPr>
          <w:rFonts w:ascii="Calibri" w:hAnsi="Calibri" w:cs="Calibri"/>
          <w:color w:val="6A5E5A"/>
          <w:sz w:val="28"/>
          <w:szCs w:val="28"/>
        </w:rPr>
        <w:t>Porque</w:t>
      </w:r>
      <w:r w:rsidR="008629A3" w:rsidRPr="00745847">
        <w:rPr>
          <w:rFonts w:ascii="Calibri" w:hAnsi="Calibri" w:cs="Calibri"/>
          <w:color w:val="6A5E5A"/>
          <w:sz w:val="28"/>
          <w:szCs w:val="28"/>
        </w:rPr>
        <w:t xml:space="preserve"> emissões FLAG?</w:t>
      </w:r>
    </w:p>
    <w:p w14:paraId="17EFC135"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05C2107B" w14:textId="3AE82FB9"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Globalmente, as emissões provenientes da agricultura, silvicultura e outros usos da terra (AFOLU na sigla em inglês) compreendem 22% das emissões globais de GEE, das quais metade (50%) vem de mudanças no uso da terra e emissões do manejo de terras. Além disso, a remoção </w:t>
      </w:r>
      <w:r w:rsidR="00042E0E" w:rsidRPr="00324524">
        <w:rPr>
          <w:rFonts w:ascii="Calibri" w:hAnsi="Calibri" w:cs="Calibri"/>
          <w:sz w:val="24"/>
          <w:szCs w:val="24"/>
          <w:highlight w:val="white"/>
        </w:rPr>
        <w:t>do carbono e seu</w:t>
      </w:r>
      <w:r w:rsidRPr="00324524">
        <w:rPr>
          <w:rFonts w:ascii="Calibri" w:hAnsi="Calibri" w:cs="Calibri"/>
          <w:sz w:val="24"/>
          <w:szCs w:val="24"/>
          <w:highlight w:val="white"/>
        </w:rPr>
        <w:t xml:space="preserve"> potencial de armazenamento na agricultura, resultante do sequestro de carbono no solo e do acúmulo de carbono na biomassa (por exemplo, </w:t>
      </w:r>
      <w:proofErr w:type="spellStart"/>
      <w:r w:rsidRPr="00324524">
        <w:rPr>
          <w:rFonts w:ascii="Calibri" w:hAnsi="Calibri" w:cs="Calibri"/>
          <w:sz w:val="24"/>
          <w:szCs w:val="24"/>
          <w:highlight w:val="white"/>
        </w:rPr>
        <w:t>agrofloresta</w:t>
      </w:r>
      <w:proofErr w:type="spellEnd"/>
      <w:r w:rsidRPr="00324524">
        <w:rPr>
          <w:rFonts w:ascii="Calibri" w:hAnsi="Calibri" w:cs="Calibri"/>
          <w:sz w:val="24"/>
          <w:szCs w:val="24"/>
          <w:highlight w:val="white"/>
        </w:rPr>
        <w:t xml:space="preserve">), representam uma oportunidade </w:t>
      </w:r>
      <w:r w:rsidR="007F4D73" w:rsidRPr="00324524">
        <w:rPr>
          <w:rFonts w:ascii="Calibri" w:hAnsi="Calibri" w:cs="Calibri"/>
          <w:sz w:val="24"/>
          <w:szCs w:val="24"/>
          <w:highlight w:val="white"/>
        </w:rPr>
        <w:t>relevante</w:t>
      </w:r>
      <w:r w:rsidRPr="00324524">
        <w:rPr>
          <w:rFonts w:ascii="Calibri" w:hAnsi="Calibri" w:cs="Calibri"/>
          <w:sz w:val="24"/>
          <w:szCs w:val="24"/>
          <w:highlight w:val="white"/>
        </w:rPr>
        <w:t xml:space="preserve"> para apoiar a meta de limitar o aquecimento a 1,5°C.</w:t>
      </w:r>
    </w:p>
    <w:p w14:paraId="00FEEDBE" w14:textId="77777777" w:rsidR="008629A3" w:rsidRPr="00324524" w:rsidRDefault="008629A3" w:rsidP="00324524">
      <w:pPr>
        <w:jc w:val="both"/>
        <w:rPr>
          <w:rFonts w:ascii="Calibri" w:hAnsi="Calibri" w:cs="Calibri"/>
          <w:sz w:val="24"/>
          <w:szCs w:val="24"/>
          <w:highlight w:val="white"/>
        </w:rPr>
      </w:pPr>
    </w:p>
    <w:p w14:paraId="4EF34832" w14:textId="2AF03FCF"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Atualmente, reconhecendo esse desafio e oportunidade, 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exige especificamente que empresas da indústria de alimentos e bebidas ou empresas cujas emissões florestais, terrestres e agrícolas (FLAG da sigla em inglês) </w:t>
      </w:r>
      <w:r w:rsidR="007F4D73" w:rsidRPr="00324524">
        <w:rPr>
          <w:rFonts w:ascii="Calibri" w:hAnsi="Calibri" w:cs="Calibri"/>
          <w:sz w:val="24"/>
          <w:szCs w:val="24"/>
          <w:highlight w:val="white"/>
        </w:rPr>
        <w:t>ultrapassem</w:t>
      </w:r>
      <w:r w:rsidRPr="00324524">
        <w:rPr>
          <w:rFonts w:ascii="Calibri" w:hAnsi="Calibri" w:cs="Calibri"/>
          <w:sz w:val="24"/>
          <w:szCs w:val="24"/>
          <w:highlight w:val="white"/>
        </w:rPr>
        <w:t xml:space="preserve"> 20% estabeleçam metas para reduzir essas emissões FLAG. </w:t>
      </w:r>
    </w:p>
    <w:p w14:paraId="66258C84" w14:textId="77777777" w:rsidR="008629A3" w:rsidRPr="00324524" w:rsidRDefault="008629A3" w:rsidP="00324524">
      <w:pPr>
        <w:jc w:val="both"/>
        <w:rPr>
          <w:rFonts w:ascii="Calibri" w:hAnsi="Calibri" w:cs="Calibri"/>
          <w:color w:val="000000"/>
          <w:sz w:val="24"/>
          <w:szCs w:val="24"/>
        </w:rPr>
      </w:pPr>
    </w:p>
    <w:p w14:paraId="018A9143" w14:textId="037D35F2" w:rsidR="008629A3" w:rsidRPr="00324524" w:rsidRDefault="008629A3" w:rsidP="00324524">
      <w:pPr>
        <w:widowControl/>
        <w:suppressAutoHyphens w:val="0"/>
        <w:autoSpaceDE/>
        <w:autoSpaceDN/>
        <w:adjustRightInd/>
        <w:spacing w:after="120" w:line="288" w:lineRule="auto"/>
        <w:jc w:val="both"/>
        <w:textAlignment w:val="auto"/>
        <w:rPr>
          <w:rFonts w:ascii="Calibri" w:eastAsia="Calibri" w:hAnsi="Calibri" w:cs="Calibri"/>
          <w:color w:val="6A5E5A"/>
          <w:sz w:val="24"/>
          <w:szCs w:val="24"/>
        </w:rPr>
      </w:pPr>
      <w:r w:rsidRPr="00324524">
        <w:rPr>
          <w:rFonts w:ascii="Calibri" w:hAnsi="Calibri" w:cs="Calibri"/>
          <w:color w:val="6A5E5A"/>
          <w:sz w:val="24"/>
          <w:szCs w:val="24"/>
        </w:rPr>
        <w:t>Medindo emissões FLAG </w:t>
      </w:r>
    </w:p>
    <w:p w14:paraId="489C3351" w14:textId="77777777" w:rsidR="00A60100"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Para avaliar as emissões e desenvolver uma meta, as emissões FLAG muitas vezes precisam </w:t>
      </w:r>
      <w:r w:rsidRPr="00324524">
        <w:rPr>
          <w:rFonts w:ascii="Calibri" w:hAnsi="Calibri" w:cs="Calibri"/>
          <w:sz w:val="24"/>
          <w:szCs w:val="24"/>
          <w:highlight w:val="white"/>
        </w:rPr>
        <w:lastRenderedPageBreak/>
        <w:t xml:space="preserve">ser removidas das outras categorias de escopos 1, 2 e 3 e refinadas posteriormente. </w:t>
      </w:r>
    </w:p>
    <w:p w14:paraId="0B4A37BD" w14:textId="77777777" w:rsidR="00A60100" w:rsidRDefault="00A60100" w:rsidP="00324524">
      <w:pPr>
        <w:pBdr>
          <w:top w:val="nil"/>
          <w:left w:val="nil"/>
          <w:bottom w:val="nil"/>
          <w:right w:val="nil"/>
          <w:between w:val="nil"/>
        </w:pBdr>
        <w:spacing w:line="240" w:lineRule="auto"/>
        <w:jc w:val="both"/>
        <w:rPr>
          <w:rFonts w:ascii="Calibri" w:hAnsi="Calibri" w:cs="Calibri"/>
          <w:sz w:val="24"/>
          <w:szCs w:val="24"/>
          <w:highlight w:val="white"/>
        </w:rPr>
      </w:pPr>
    </w:p>
    <w:p w14:paraId="4016B4E3" w14:textId="77777777" w:rsidR="00A60100"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Para começar, é importante compreender os limites das emissões FLAG. As emissões do tipo FLAG ocorrem do berço à porteira da fazenda, o que significa essencialmente que qua</w:t>
      </w:r>
      <w:r w:rsidR="00AD7EC5" w:rsidRPr="00324524">
        <w:rPr>
          <w:rFonts w:ascii="Calibri" w:hAnsi="Calibri" w:cs="Calibri"/>
          <w:sz w:val="24"/>
          <w:szCs w:val="24"/>
          <w:highlight w:val="white"/>
        </w:rPr>
        <w:t>is</w:t>
      </w:r>
      <w:r w:rsidRPr="00324524">
        <w:rPr>
          <w:rFonts w:ascii="Calibri" w:hAnsi="Calibri" w:cs="Calibri"/>
          <w:sz w:val="24"/>
          <w:szCs w:val="24"/>
          <w:highlight w:val="white"/>
        </w:rPr>
        <w:t>quer atividade</w:t>
      </w:r>
      <w:r w:rsidR="00AD7EC5" w:rsidRPr="00324524">
        <w:rPr>
          <w:rFonts w:ascii="Calibri" w:hAnsi="Calibri" w:cs="Calibri"/>
          <w:sz w:val="24"/>
          <w:szCs w:val="24"/>
          <w:highlight w:val="white"/>
        </w:rPr>
        <w:t>s</w:t>
      </w:r>
      <w:r w:rsidRPr="00324524">
        <w:rPr>
          <w:rFonts w:ascii="Calibri" w:hAnsi="Calibri" w:cs="Calibri"/>
          <w:sz w:val="24"/>
          <w:szCs w:val="24"/>
          <w:highlight w:val="white"/>
        </w:rPr>
        <w:t xml:space="preserve"> que ocorra</w:t>
      </w:r>
      <w:r w:rsidR="00AD7EC5" w:rsidRPr="00324524">
        <w:rPr>
          <w:rFonts w:ascii="Calibri" w:hAnsi="Calibri" w:cs="Calibri"/>
          <w:sz w:val="24"/>
          <w:szCs w:val="24"/>
          <w:highlight w:val="white"/>
        </w:rPr>
        <w:t>m</w:t>
      </w:r>
      <w:r w:rsidRPr="00324524">
        <w:rPr>
          <w:rFonts w:ascii="Calibri" w:hAnsi="Calibri" w:cs="Calibri"/>
          <w:sz w:val="24"/>
          <w:szCs w:val="24"/>
          <w:highlight w:val="white"/>
        </w:rPr>
        <w:t xml:space="preserve"> na propriedade rural, bem como as atividades a montante na cadeia, ser</w:t>
      </w:r>
      <w:r w:rsidR="00AD7EC5" w:rsidRPr="00324524">
        <w:rPr>
          <w:rFonts w:ascii="Calibri" w:hAnsi="Calibri" w:cs="Calibri"/>
          <w:sz w:val="24"/>
          <w:szCs w:val="24"/>
          <w:highlight w:val="white"/>
        </w:rPr>
        <w:t>ão</w:t>
      </w:r>
      <w:r w:rsidRPr="00324524">
        <w:rPr>
          <w:rFonts w:ascii="Calibri" w:hAnsi="Calibri" w:cs="Calibri"/>
          <w:sz w:val="24"/>
          <w:szCs w:val="24"/>
          <w:highlight w:val="white"/>
        </w:rPr>
        <w:t xml:space="preserve"> classificadas como FLAG. </w:t>
      </w:r>
    </w:p>
    <w:p w14:paraId="520C6D86" w14:textId="77777777" w:rsidR="00A60100" w:rsidRDefault="00A60100" w:rsidP="00324524">
      <w:pPr>
        <w:pBdr>
          <w:top w:val="nil"/>
          <w:left w:val="nil"/>
          <w:bottom w:val="nil"/>
          <w:right w:val="nil"/>
          <w:between w:val="nil"/>
        </w:pBdr>
        <w:spacing w:line="240" w:lineRule="auto"/>
        <w:jc w:val="both"/>
        <w:rPr>
          <w:rFonts w:ascii="Calibri" w:hAnsi="Calibri" w:cs="Calibri"/>
          <w:sz w:val="24"/>
          <w:szCs w:val="24"/>
          <w:highlight w:val="white"/>
        </w:rPr>
      </w:pPr>
    </w:p>
    <w:p w14:paraId="11655732" w14:textId="77777777" w:rsidR="00A60100"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Para a cana-de-açúcar, embora a moagem aconteça rapidamente após a colheita da cana, exigindo transporte imediato, esse transporte é considerado “além da porteira”</w:t>
      </w:r>
      <w:r w:rsidR="00AD7EC5" w:rsidRPr="00324524">
        <w:rPr>
          <w:rFonts w:ascii="Calibri" w:hAnsi="Calibri" w:cs="Calibri"/>
          <w:sz w:val="24"/>
          <w:szCs w:val="24"/>
          <w:highlight w:val="white"/>
        </w:rPr>
        <w:t xml:space="preserve"> </w:t>
      </w:r>
      <w:r w:rsidR="00A60100" w:rsidRPr="00324524">
        <w:rPr>
          <w:rFonts w:ascii="Calibri" w:hAnsi="Calibri" w:cs="Calibri"/>
          <w:sz w:val="24"/>
          <w:szCs w:val="24"/>
          <w:highlight w:val="white"/>
        </w:rPr>
        <w:t>e, portanto,</w:t>
      </w:r>
      <w:r w:rsidRPr="00324524">
        <w:rPr>
          <w:rFonts w:ascii="Calibri" w:hAnsi="Calibri" w:cs="Calibri"/>
          <w:sz w:val="24"/>
          <w:szCs w:val="24"/>
          <w:highlight w:val="white"/>
        </w:rPr>
        <w:t xml:space="preserve"> não deve ser incluído nas emissões totais do tipo FLAG para cana-de-açúcar. </w:t>
      </w:r>
    </w:p>
    <w:p w14:paraId="542E7A02" w14:textId="77777777" w:rsidR="00A60100" w:rsidRDefault="00A60100" w:rsidP="00324524">
      <w:pPr>
        <w:pBdr>
          <w:top w:val="nil"/>
          <w:left w:val="nil"/>
          <w:bottom w:val="nil"/>
          <w:right w:val="nil"/>
          <w:between w:val="nil"/>
        </w:pBdr>
        <w:spacing w:line="240" w:lineRule="auto"/>
        <w:jc w:val="both"/>
        <w:rPr>
          <w:rFonts w:ascii="Calibri" w:hAnsi="Calibri" w:cs="Calibri"/>
          <w:sz w:val="24"/>
          <w:szCs w:val="24"/>
          <w:highlight w:val="white"/>
        </w:rPr>
      </w:pPr>
    </w:p>
    <w:p w14:paraId="302CAA9D" w14:textId="77CED0D5"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Se sua entidade for proprietária da fazenda, prédios e equipamentos, as emissões FLAG podem, na verdade, ser emissões de escopos 1 e 2</w:t>
      </w:r>
      <w:r w:rsidR="00E37E5A" w:rsidRPr="00324524">
        <w:rPr>
          <w:rFonts w:ascii="Calibri" w:hAnsi="Calibri" w:cs="Calibri"/>
          <w:sz w:val="24"/>
          <w:szCs w:val="24"/>
          <w:highlight w:val="white"/>
        </w:rPr>
        <w:t>;</w:t>
      </w:r>
      <w:r w:rsidRPr="00324524">
        <w:rPr>
          <w:rFonts w:ascii="Calibri" w:hAnsi="Calibri" w:cs="Calibri"/>
          <w:sz w:val="24"/>
          <w:szCs w:val="24"/>
          <w:highlight w:val="white"/>
        </w:rPr>
        <w:t xml:space="preserve"> no entanto, para muitos comerciantes ou marcas nos quais a produção de cana-de-açúcar ocorre dentro da cadeia de abastecimento, as emissões FLAG estão incorporadas às emissões de escopo 3. </w:t>
      </w:r>
    </w:p>
    <w:p w14:paraId="3C9A1EC1"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657B267A" w14:textId="77777777" w:rsidR="00A60100"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De acordo com as estruturas de contabilização estabelecidas pela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as emissões FLAG associadas à produção de cana-de-açúcar na propriedade rural precisam ser divididas em duas categorias principais. As emissões provenientes da conversão da terra precisam ser contabilizadas como emissões de </w:t>
      </w:r>
      <w:r w:rsidRPr="00A60100">
        <w:rPr>
          <w:rFonts w:ascii="Calibri" w:hAnsi="Calibri" w:cs="Calibri"/>
          <w:b/>
          <w:bCs/>
          <w:sz w:val="24"/>
          <w:szCs w:val="24"/>
          <w:highlight w:val="white"/>
        </w:rPr>
        <w:t>mudança de uso da terra (LUC em inglês)</w:t>
      </w:r>
      <w:r w:rsidRPr="00324524">
        <w:rPr>
          <w:rFonts w:ascii="Calibri" w:hAnsi="Calibri" w:cs="Calibri"/>
          <w:sz w:val="24"/>
          <w:szCs w:val="24"/>
          <w:highlight w:val="white"/>
        </w:rPr>
        <w:t xml:space="preserve">, enquanto todas as outras emissões, como as provenientes do uso de energia na </w:t>
      </w:r>
      <w:r w:rsidR="00E37E5A" w:rsidRPr="00324524">
        <w:rPr>
          <w:rFonts w:ascii="Calibri" w:hAnsi="Calibri" w:cs="Calibri"/>
          <w:sz w:val="24"/>
          <w:szCs w:val="24"/>
          <w:highlight w:val="white"/>
        </w:rPr>
        <w:t>propriedade rural</w:t>
      </w:r>
      <w:r w:rsidRPr="00324524">
        <w:rPr>
          <w:rFonts w:ascii="Calibri" w:hAnsi="Calibri" w:cs="Calibri"/>
          <w:sz w:val="24"/>
          <w:szCs w:val="24"/>
          <w:highlight w:val="white"/>
        </w:rPr>
        <w:t xml:space="preserve"> para maquinário ou aplicação de fertilizantes, são categorizadas como emissões do </w:t>
      </w:r>
      <w:r w:rsidRPr="00A60100">
        <w:rPr>
          <w:rFonts w:ascii="Calibri" w:hAnsi="Calibri" w:cs="Calibri"/>
          <w:b/>
          <w:bCs/>
          <w:sz w:val="24"/>
          <w:szCs w:val="24"/>
          <w:highlight w:val="white"/>
        </w:rPr>
        <w:t>manejo da terra (ou não LUC)</w:t>
      </w:r>
      <w:r w:rsidRPr="00324524">
        <w:rPr>
          <w:rFonts w:ascii="Calibri" w:hAnsi="Calibri" w:cs="Calibri"/>
          <w:sz w:val="24"/>
          <w:szCs w:val="24"/>
          <w:highlight w:val="white"/>
        </w:rPr>
        <w:t xml:space="preserve">. Como as commodities agrícolas, incluindo a cana-de-açúcar, também têm o potencial de sequestrar carbono no solo ou por meio do uso de novas tecnologias, como o </w:t>
      </w:r>
      <w:proofErr w:type="spellStart"/>
      <w:r w:rsidRPr="00324524">
        <w:rPr>
          <w:rFonts w:ascii="Calibri" w:hAnsi="Calibri" w:cs="Calibri"/>
          <w:sz w:val="24"/>
          <w:szCs w:val="24"/>
          <w:highlight w:val="white"/>
        </w:rPr>
        <w:t>biocarvão</w:t>
      </w:r>
      <w:proofErr w:type="spellEnd"/>
      <w:r w:rsidRPr="00324524">
        <w:rPr>
          <w:rFonts w:ascii="Calibri" w:hAnsi="Calibri" w:cs="Calibri"/>
          <w:sz w:val="24"/>
          <w:szCs w:val="24"/>
          <w:highlight w:val="white"/>
        </w:rPr>
        <w:t xml:space="preserve">, 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incluiu a capacidade de contabilizar as </w:t>
      </w:r>
      <w:r w:rsidRPr="00A60100">
        <w:rPr>
          <w:rFonts w:ascii="Calibri" w:hAnsi="Calibri" w:cs="Calibri"/>
          <w:b/>
          <w:bCs/>
          <w:sz w:val="24"/>
          <w:szCs w:val="24"/>
          <w:highlight w:val="white"/>
        </w:rPr>
        <w:t>remoções de carbono</w:t>
      </w:r>
      <w:r w:rsidRPr="00324524">
        <w:rPr>
          <w:rFonts w:ascii="Calibri" w:hAnsi="Calibri" w:cs="Calibri"/>
          <w:sz w:val="24"/>
          <w:szCs w:val="24"/>
          <w:highlight w:val="white"/>
        </w:rPr>
        <w:t xml:space="preserve"> no exercício original de definição de metas FLAG.  </w:t>
      </w:r>
    </w:p>
    <w:p w14:paraId="0BFB6F38" w14:textId="77777777" w:rsidR="00A60100" w:rsidRDefault="00A60100" w:rsidP="00324524">
      <w:pPr>
        <w:pBdr>
          <w:top w:val="nil"/>
          <w:left w:val="nil"/>
          <w:bottom w:val="nil"/>
          <w:right w:val="nil"/>
          <w:between w:val="nil"/>
        </w:pBdr>
        <w:spacing w:line="240" w:lineRule="auto"/>
        <w:jc w:val="both"/>
        <w:rPr>
          <w:rFonts w:ascii="Calibri" w:hAnsi="Calibri" w:cs="Calibri"/>
          <w:sz w:val="24"/>
          <w:szCs w:val="24"/>
          <w:highlight w:val="white"/>
        </w:rPr>
      </w:pPr>
    </w:p>
    <w:p w14:paraId="7F9AA428" w14:textId="4080103B"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A tabela a seguir destaca os dados necessários para a avaliação do ano-base e as fontes típicas de emissões para cana-de-açúcar que podem ser classificadas como LUC ou não LUC, bem como as remoções. </w:t>
      </w:r>
    </w:p>
    <w:p w14:paraId="6644D2FB"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6A988EC3" w14:textId="77777777" w:rsidR="008629A3" w:rsidRPr="00324524" w:rsidRDefault="008629A3" w:rsidP="00A60100">
      <w:pPr>
        <w:spacing w:line="240" w:lineRule="auto"/>
        <w:jc w:val="center"/>
        <w:rPr>
          <w:rFonts w:ascii="Calibri" w:hAnsi="Calibri" w:cs="Calibri"/>
          <w:sz w:val="24"/>
          <w:szCs w:val="24"/>
        </w:rPr>
      </w:pPr>
      <w:r w:rsidRPr="00324524">
        <w:rPr>
          <w:rFonts w:ascii="Calibri" w:hAnsi="Calibri" w:cs="Calibri"/>
          <w:i/>
          <w:color w:val="000000"/>
          <w:sz w:val="24"/>
          <w:szCs w:val="24"/>
        </w:rPr>
        <w:t>Tabela 1. Exemplo de emissões e remoções FLAG da cana-de-açúcar</w:t>
      </w:r>
    </w:p>
    <w:p w14:paraId="79A9AEF8" w14:textId="77777777" w:rsidR="008629A3" w:rsidRPr="00324524" w:rsidRDefault="008629A3" w:rsidP="00324524">
      <w:pPr>
        <w:spacing w:line="240" w:lineRule="auto"/>
        <w:jc w:val="both"/>
        <w:rPr>
          <w:rFonts w:ascii="Calibri" w:hAnsi="Calibri" w:cs="Calibri"/>
          <w:sz w:val="24"/>
          <w:szCs w:val="24"/>
        </w:rPr>
      </w:pPr>
    </w:p>
    <w:tbl>
      <w:tblPr>
        <w:tblW w:w="9046" w:type="dxa"/>
        <w:tblLayout w:type="fixed"/>
        <w:tblLook w:val="0400" w:firstRow="0" w:lastRow="0" w:firstColumn="0" w:lastColumn="0" w:noHBand="0" w:noVBand="1"/>
      </w:tblPr>
      <w:tblGrid>
        <w:gridCol w:w="1673"/>
        <w:gridCol w:w="1851"/>
        <w:gridCol w:w="5522"/>
      </w:tblGrid>
      <w:tr w:rsidR="008629A3" w:rsidRPr="00324524" w14:paraId="7CCB6566" w14:textId="77777777" w:rsidTr="00A60100">
        <w:tc>
          <w:tcPr>
            <w:tcW w:w="1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A6204" w14:textId="77777777"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Seção </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F3276" w14:textId="77777777"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Dado </w:t>
            </w:r>
          </w:p>
        </w:tc>
        <w:tc>
          <w:tcPr>
            <w:tcW w:w="5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F87DA" w14:textId="77777777"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Requisitos de documentação/dados </w:t>
            </w:r>
          </w:p>
        </w:tc>
      </w:tr>
      <w:tr w:rsidR="008629A3" w:rsidRPr="00324524" w14:paraId="06DFC30F" w14:textId="77777777" w:rsidTr="00A6010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E488"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Manejo de Terras (não 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4ED3B"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Valor de EF (t CO2eq) por t de peso da cana fresca</w:t>
            </w:r>
          </w:p>
          <w:p w14:paraId="1D7DB046" w14:textId="77777777" w:rsidR="008629A3" w:rsidRPr="00324524" w:rsidRDefault="008629A3" w:rsidP="00A60100">
            <w:pPr>
              <w:spacing w:line="240" w:lineRule="auto"/>
              <w:rPr>
                <w:rFonts w:ascii="Calibri" w:hAnsi="Calibri" w:cs="Calibri"/>
                <w:sz w:val="24"/>
                <w:szCs w:val="24"/>
                <w:highlight w:val="white"/>
              </w:rPr>
            </w:pPr>
          </w:p>
          <w:p w14:paraId="79E03DF9"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ou </w:t>
            </w:r>
          </w:p>
          <w:p w14:paraId="2AB683C7" w14:textId="77777777" w:rsidR="008629A3" w:rsidRPr="00324524" w:rsidRDefault="008629A3" w:rsidP="00A60100">
            <w:pPr>
              <w:spacing w:line="240" w:lineRule="auto"/>
              <w:rPr>
                <w:rFonts w:ascii="Calibri" w:hAnsi="Calibri" w:cs="Calibri"/>
                <w:sz w:val="24"/>
                <w:szCs w:val="24"/>
                <w:highlight w:val="white"/>
              </w:rPr>
            </w:pPr>
          </w:p>
          <w:p w14:paraId="36EA28C2" w14:textId="060C8415"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lastRenderedPageBreak/>
              <w:t xml:space="preserve">Emissões totais (t CO2eq) e volume total adquirido (t </w:t>
            </w:r>
            <w:r w:rsidR="007E6C9C" w:rsidRPr="00324524">
              <w:rPr>
                <w:rFonts w:ascii="Calibri" w:hAnsi="Calibri" w:cs="Calibri"/>
                <w:sz w:val="24"/>
                <w:szCs w:val="24"/>
                <w:highlight w:val="white"/>
              </w:rPr>
              <w:t xml:space="preserve">de </w:t>
            </w:r>
            <w:r w:rsidRPr="00324524">
              <w:rPr>
                <w:rFonts w:ascii="Calibri" w:hAnsi="Calibri" w:cs="Calibri"/>
                <w:sz w:val="24"/>
                <w:szCs w:val="24"/>
                <w:highlight w:val="white"/>
              </w:rPr>
              <w:t>peso da cana fresca)</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A303E" w14:textId="3DA3BB6D" w:rsidR="00A60100"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lastRenderedPageBreak/>
              <w:t xml:space="preserve">Inventário completo do berço à porteira da fazenda de fontes de emissões, </w:t>
            </w:r>
            <w:r w:rsidR="00A60100">
              <w:rPr>
                <w:rFonts w:ascii="Calibri" w:hAnsi="Calibri" w:cs="Calibri"/>
                <w:sz w:val="24"/>
                <w:szCs w:val="24"/>
                <w:highlight w:val="white"/>
              </w:rPr>
              <w:t>incluindo</w:t>
            </w:r>
          </w:p>
          <w:p w14:paraId="68D79D63" w14:textId="77777777" w:rsidR="00A60100" w:rsidRDefault="008629A3" w:rsidP="00A60100">
            <w:pPr>
              <w:pStyle w:val="ListParagraph"/>
              <w:numPr>
                <w:ilvl w:val="0"/>
                <w:numId w:val="14"/>
              </w:numPr>
              <w:spacing w:line="240" w:lineRule="auto"/>
              <w:rPr>
                <w:rFonts w:ascii="Calibri" w:hAnsi="Calibri" w:cs="Calibri"/>
                <w:sz w:val="24"/>
                <w:szCs w:val="24"/>
                <w:highlight w:val="white"/>
              </w:rPr>
            </w:pPr>
            <w:r w:rsidRPr="00A60100">
              <w:rPr>
                <w:rFonts w:ascii="Calibri" w:hAnsi="Calibri" w:cs="Calibri"/>
                <w:sz w:val="24"/>
                <w:szCs w:val="24"/>
                <w:highlight w:val="white"/>
              </w:rPr>
              <w:t xml:space="preserve">emissões de produção e transporte de insumos agrícolas (fertilizantes, pesticidas, combustíveis, eletricidade), </w:t>
            </w:r>
          </w:p>
          <w:p w14:paraId="36500703" w14:textId="77777777" w:rsidR="00A60100" w:rsidRDefault="008629A3" w:rsidP="00A60100">
            <w:pPr>
              <w:pStyle w:val="ListParagraph"/>
              <w:numPr>
                <w:ilvl w:val="0"/>
                <w:numId w:val="14"/>
              </w:numPr>
              <w:spacing w:line="240" w:lineRule="auto"/>
              <w:rPr>
                <w:rFonts w:ascii="Calibri" w:hAnsi="Calibri" w:cs="Calibri"/>
                <w:sz w:val="24"/>
                <w:szCs w:val="24"/>
                <w:highlight w:val="white"/>
              </w:rPr>
            </w:pPr>
            <w:r w:rsidRPr="00A60100">
              <w:rPr>
                <w:rFonts w:ascii="Calibri" w:hAnsi="Calibri" w:cs="Calibri"/>
                <w:sz w:val="24"/>
                <w:szCs w:val="24"/>
                <w:highlight w:val="white"/>
              </w:rPr>
              <w:t xml:space="preserve">emissões de combustível e uso de energia na fazenda para aplicação de insumos </w:t>
            </w:r>
            <w:r w:rsidRPr="00A60100">
              <w:rPr>
                <w:rFonts w:ascii="Calibri" w:hAnsi="Calibri" w:cs="Calibri"/>
                <w:sz w:val="24"/>
                <w:szCs w:val="24"/>
                <w:highlight w:val="white"/>
              </w:rPr>
              <w:lastRenderedPageBreak/>
              <w:t xml:space="preserve">(fertilizantes, pesticidas, irrigação) e práticas agrícolas (aragem, </w:t>
            </w:r>
            <w:proofErr w:type="gramStart"/>
            <w:r w:rsidRPr="00A60100">
              <w:rPr>
                <w:rFonts w:ascii="Calibri" w:hAnsi="Calibri" w:cs="Calibri"/>
                <w:sz w:val="24"/>
                <w:szCs w:val="24"/>
                <w:highlight w:val="white"/>
              </w:rPr>
              <w:t xml:space="preserve">colheita </w:t>
            </w:r>
            <w:proofErr w:type="spellStart"/>
            <w:r w:rsidRPr="00A60100">
              <w:rPr>
                <w:rFonts w:ascii="Calibri" w:hAnsi="Calibri" w:cs="Calibri"/>
                <w:sz w:val="24"/>
                <w:szCs w:val="24"/>
                <w:highlight w:val="white"/>
              </w:rPr>
              <w:t>etc</w:t>
            </w:r>
            <w:proofErr w:type="spellEnd"/>
            <w:proofErr w:type="gramEnd"/>
            <w:r w:rsidRPr="00A60100">
              <w:rPr>
                <w:rFonts w:ascii="Calibri" w:hAnsi="Calibri" w:cs="Calibri"/>
                <w:sz w:val="24"/>
                <w:szCs w:val="24"/>
                <w:highlight w:val="white"/>
              </w:rPr>
              <w:t xml:space="preserve">), </w:t>
            </w:r>
          </w:p>
          <w:p w14:paraId="5C41EC24" w14:textId="77777777" w:rsidR="00A60100" w:rsidRDefault="008629A3" w:rsidP="00A60100">
            <w:pPr>
              <w:pStyle w:val="ListParagraph"/>
              <w:numPr>
                <w:ilvl w:val="0"/>
                <w:numId w:val="14"/>
              </w:numPr>
              <w:spacing w:line="240" w:lineRule="auto"/>
              <w:rPr>
                <w:rFonts w:ascii="Calibri" w:hAnsi="Calibri" w:cs="Calibri"/>
                <w:sz w:val="24"/>
                <w:szCs w:val="24"/>
                <w:highlight w:val="white"/>
              </w:rPr>
            </w:pPr>
            <w:r w:rsidRPr="00A60100">
              <w:rPr>
                <w:rFonts w:ascii="Calibri" w:hAnsi="Calibri" w:cs="Calibri"/>
                <w:sz w:val="24"/>
                <w:szCs w:val="24"/>
                <w:highlight w:val="white"/>
              </w:rPr>
              <w:t>emissões diretamente do solo (quebra de N por bactérias ou C d</w:t>
            </w:r>
            <w:r w:rsidR="0039593E" w:rsidRPr="00A60100">
              <w:rPr>
                <w:rFonts w:ascii="Calibri" w:hAnsi="Calibri" w:cs="Calibri"/>
                <w:sz w:val="24"/>
                <w:szCs w:val="24"/>
                <w:highlight w:val="white"/>
              </w:rPr>
              <w:t>a cal</w:t>
            </w:r>
            <w:r w:rsidRPr="00A60100">
              <w:rPr>
                <w:rFonts w:ascii="Calibri" w:hAnsi="Calibri" w:cs="Calibri"/>
                <w:sz w:val="24"/>
                <w:szCs w:val="24"/>
                <w:highlight w:val="white"/>
              </w:rPr>
              <w:t xml:space="preserve">), </w:t>
            </w:r>
          </w:p>
          <w:p w14:paraId="502A6E8C" w14:textId="3729DE4C" w:rsidR="008629A3" w:rsidRPr="00A60100" w:rsidRDefault="008629A3" w:rsidP="00A60100">
            <w:pPr>
              <w:pStyle w:val="ListParagraph"/>
              <w:numPr>
                <w:ilvl w:val="0"/>
                <w:numId w:val="14"/>
              </w:numPr>
              <w:spacing w:line="240" w:lineRule="auto"/>
              <w:rPr>
                <w:rFonts w:ascii="Calibri" w:hAnsi="Calibri" w:cs="Calibri"/>
                <w:sz w:val="24"/>
                <w:szCs w:val="24"/>
                <w:highlight w:val="white"/>
              </w:rPr>
            </w:pPr>
            <w:r w:rsidRPr="00A60100">
              <w:rPr>
                <w:rFonts w:ascii="Calibri" w:hAnsi="Calibri" w:cs="Calibri"/>
                <w:sz w:val="24"/>
                <w:szCs w:val="24"/>
                <w:highlight w:val="white"/>
              </w:rPr>
              <w:t>emissões da queima da cana-de-açúcar</w:t>
            </w:r>
          </w:p>
        </w:tc>
      </w:tr>
      <w:tr w:rsidR="008629A3" w:rsidRPr="00324524" w14:paraId="3DBCF4F5" w14:textId="77777777" w:rsidTr="00A6010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AD3E4"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lastRenderedPageBreak/>
              <w:t>Mudança de uso da terra (LUC)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A992"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Emissões de LUC (t CO2) por t de peso da cana fresca</w:t>
            </w:r>
          </w:p>
          <w:p w14:paraId="74091469" w14:textId="77777777" w:rsidR="008629A3" w:rsidRPr="00324524" w:rsidRDefault="008629A3" w:rsidP="00A60100">
            <w:pPr>
              <w:spacing w:line="240" w:lineRule="auto"/>
              <w:rPr>
                <w:rFonts w:ascii="Calibri" w:hAnsi="Calibri" w:cs="Calibri"/>
                <w:sz w:val="24"/>
                <w:szCs w:val="24"/>
                <w:highlight w:val="white"/>
              </w:rPr>
            </w:pPr>
          </w:p>
          <w:p w14:paraId="1B610033"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ou </w:t>
            </w:r>
          </w:p>
          <w:p w14:paraId="73516856" w14:textId="77777777" w:rsidR="008629A3" w:rsidRPr="00324524" w:rsidRDefault="008629A3" w:rsidP="00A60100">
            <w:pPr>
              <w:spacing w:line="240" w:lineRule="auto"/>
              <w:rPr>
                <w:rFonts w:ascii="Calibri" w:hAnsi="Calibri" w:cs="Calibri"/>
                <w:sz w:val="24"/>
                <w:szCs w:val="24"/>
                <w:highlight w:val="white"/>
              </w:rPr>
            </w:pPr>
          </w:p>
          <w:p w14:paraId="151C93D8"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Total de Emissões LUC</w:t>
            </w:r>
          </w:p>
          <w:p w14:paraId="04608ED4" w14:textId="2B58CE3F"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 xml:space="preserve">(t CO2eq) e volume total adquirido (t </w:t>
            </w:r>
            <w:r w:rsidR="005035CB" w:rsidRPr="00324524">
              <w:rPr>
                <w:rFonts w:ascii="Calibri" w:hAnsi="Calibri" w:cs="Calibri"/>
                <w:sz w:val="24"/>
                <w:szCs w:val="24"/>
                <w:highlight w:val="white"/>
              </w:rPr>
              <w:t xml:space="preserve">de </w:t>
            </w:r>
            <w:r w:rsidRPr="00324524">
              <w:rPr>
                <w:rFonts w:ascii="Calibri" w:hAnsi="Calibri" w:cs="Calibri"/>
                <w:sz w:val="24"/>
                <w:szCs w:val="24"/>
                <w:highlight w:val="white"/>
              </w:rPr>
              <w:t>peso da cana fresca)</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407D4"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Emissões diretas da conversão de um tipo de cobertura da terra para outro (calculado como mudança no estoque de carbono)</w:t>
            </w:r>
          </w:p>
        </w:tc>
      </w:tr>
      <w:tr w:rsidR="008629A3" w:rsidRPr="00324524" w14:paraId="3A75BC57" w14:textId="77777777" w:rsidTr="00A60100">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238A"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Remoção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61203"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Remoções (t CO2eq) por t de peso da cana fresca</w:t>
            </w:r>
          </w:p>
          <w:p w14:paraId="7E9DF5B9" w14:textId="77777777" w:rsidR="008629A3" w:rsidRPr="00324524" w:rsidRDefault="008629A3" w:rsidP="00A60100">
            <w:pPr>
              <w:spacing w:line="240" w:lineRule="auto"/>
              <w:rPr>
                <w:rFonts w:ascii="Calibri" w:hAnsi="Calibri" w:cs="Calibri"/>
                <w:sz w:val="24"/>
                <w:szCs w:val="24"/>
                <w:highlight w:val="white"/>
              </w:rPr>
            </w:pPr>
          </w:p>
          <w:p w14:paraId="0CE8A4FC"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ou</w:t>
            </w:r>
          </w:p>
          <w:p w14:paraId="540E04E1" w14:textId="77777777" w:rsidR="008629A3" w:rsidRPr="00324524" w:rsidRDefault="008629A3" w:rsidP="00A60100">
            <w:pPr>
              <w:spacing w:line="240" w:lineRule="auto"/>
              <w:rPr>
                <w:rFonts w:ascii="Calibri" w:hAnsi="Calibri" w:cs="Calibri"/>
                <w:sz w:val="24"/>
                <w:szCs w:val="24"/>
                <w:highlight w:val="white"/>
              </w:rPr>
            </w:pPr>
          </w:p>
          <w:p w14:paraId="38DE0175"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Remoções totais</w:t>
            </w:r>
          </w:p>
          <w:p w14:paraId="37EAB78D" w14:textId="58532DFE"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(t CO2eq) e volume total adquirido (t</w:t>
            </w:r>
            <w:r w:rsidR="005035CB" w:rsidRPr="00324524">
              <w:rPr>
                <w:rFonts w:ascii="Calibri" w:hAnsi="Calibri" w:cs="Calibri"/>
                <w:sz w:val="24"/>
                <w:szCs w:val="24"/>
                <w:highlight w:val="white"/>
              </w:rPr>
              <w:t xml:space="preserve"> de</w:t>
            </w:r>
            <w:r w:rsidRPr="00324524">
              <w:rPr>
                <w:rFonts w:ascii="Calibri" w:hAnsi="Calibri" w:cs="Calibri"/>
                <w:sz w:val="24"/>
                <w:szCs w:val="24"/>
                <w:highlight w:val="white"/>
              </w:rPr>
              <w:t xml:space="preserve"> peso da cana fresca)</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07217" w14:textId="77777777" w:rsidR="008629A3" w:rsidRPr="00324524" w:rsidRDefault="008629A3" w:rsidP="00A60100">
            <w:pPr>
              <w:spacing w:line="240" w:lineRule="auto"/>
              <w:rPr>
                <w:rFonts w:ascii="Calibri" w:hAnsi="Calibri" w:cs="Calibri"/>
                <w:sz w:val="24"/>
                <w:szCs w:val="24"/>
                <w:highlight w:val="white"/>
              </w:rPr>
            </w:pPr>
            <w:r w:rsidRPr="00324524">
              <w:rPr>
                <w:rFonts w:ascii="Calibri" w:hAnsi="Calibri" w:cs="Calibri"/>
                <w:sz w:val="24"/>
                <w:szCs w:val="24"/>
                <w:highlight w:val="white"/>
              </w:rPr>
              <w:t xml:space="preserve">O sequestro de carbono pode ocorrer na forma de aumento das remoções no SOC ou por meio da aplicação de </w:t>
            </w:r>
            <w:proofErr w:type="spellStart"/>
            <w:r w:rsidRPr="00324524">
              <w:rPr>
                <w:rFonts w:ascii="Calibri" w:hAnsi="Calibri" w:cs="Calibri"/>
                <w:sz w:val="24"/>
                <w:szCs w:val="24"/>
                <w:highlight w:val="white"/>
              </w:rPr>
              <w:t>biocarvão</w:t>
            </w:r>
            <w:proofErr w:type="spellEnd"/>
          </w:p>
        </w:tc>
      </w:tr>
    </w:tbl>
    <w:p w14:paraId="51C7233B" w14:textId="77777777" w:rsidR="008629A3" w:rsidRPr="00324524" w:rsidRDefault="008629A3" w:rsidP="00324524">
      <w:pPr>
        <w:jc w:val="both"/>
        <w:rPr>
          <w:rFonts w:ascii="Calibri" w:hAnsi="Calibri" w:cs="Calibri"/>
          <w:sz w:val="24"/>
          <w:szCs w:val="24"/>
        </w:rPr>
      </w:pPr>
    </w:p>
    <w:p w14:paraId="5F9F6F2A" w14:textId="77777777" w:rsidR="008629A3" w:rsidRPr="00324524" w:rsidRDefault="008629A3" w:rsidP="00324524">
      <w:pPr>
        <w:spacing w:line="240" w:lineRule="auto"/>
        <w:jc w:val="both"/>
        <w:rPr>
          <w:rFonts w:ascii="Calibri" w:hAnsi="Calibri" w:cs="Calibri"/>
          <w:sz w:val="24"/>
          <w:szCs w:val="24"/>
          <w:highlight w:val="white"/>
        </w:rPr>
      </w:pPr>
    </w:p>
    <w:p w14:paraId="02788B35" w14:textId="77777777" w:rsidR="008629A3" w:rsidRPr="00324524" w:rsidRDefault="008629A3" w:rsidP="00324524">
      <w:pPr>
        <w:spacing w:line="240" w:lineRule="auto"/>
        <w:jc w:val="both"/>
        <w:rPr>
          <w:rFonts w:ascii="Calibri" w:hAnsi="Calibri" w:cs="Calibri"/>
          <w:sz w:val="24"/>
          <w:szCs w:val="24"/>
          <w:highlight w:val="white"/>
        </w:rPr>
      </w:pPr>
    </w:p>
    <w:p w14:paraId="646AD691" w14:textId="77777777" w:rsidR="00A60100"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 contabilização das emissões FLAG geralmente segue a mesma abordagem da </w:t>
      </w:r>
      <w:r w:rsidR="00A60100">
        <w:rPr>
          <w:rFonts w:ascii="Calibri" w:hAnsi="Calibri" w:cs="Calibri"/>
          <w:sz w:val="24"/>
          <w:szCs w:val="24"/>
          <w:highlight w:val="white"/>
        </w:rPr>
        <w:t>C</w:t>
      </w:r>
      <w:r w:rsidRPr="00324524">
        <w:rPr>
          <w:rFonts w:ascii="Calibri" w:hAnsi="Calibri" w:cs="Calibri"/>
          <w:sz w:val="24"/>
          <w:szCs w:val="24"/>
          <w:highlight w:val="white"/>
        </w:rPr>
        <w:t xml:space="preserve">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xml:space="preserve">, conforme descrito pelo GHG </w:t>
      </w:r>
      <w:proofErr w:type="spellStart"/>
      <w:r w:rsidRPr="00324524">
        <w:rPr>
          <w:rFonts w:ascii="Calibri" w:hAnsi="Calibri" w:cs="Calibri"/>
          <w:sz w:val="24"/>
          <w:szCs w:val="24"/>
          <w:highlight w:val="white"/>
        </w:rPr>
        <w:t>Protocol</w:t>
      </w:r>
      <w:proofErr w:type="spellEnd"/>
      <w:r w:rsidRPr="00324524">
        <w:rPr>
          <w:rFonts w:ascii="Calibri" w:hAnsi="Calibri" w:cs="Calibri"/>
          <w:sz w:val="24"/>
          <w:szCs w:val="24"/>
          <w:highlight w:val="white"/>
        </w:rPr>
        <w:t xml:space="preserve">, no entanto, existem requisitos específicos na próxima </w:t>
      </w:r>
      <w:hyperlink r:id="rId12" w:anchor="supporting-documents" w:history="1">
        <w:r w:rsidRPr="00A60100">
          <w:rPr>
            <w:rStyle w:val="Hyperlink"/>
            <w:rFonts w:ascii="Calibri" w:hAnsi="Calibri" w:cs="Calibri"/>
            <w:sz w:val="24"/>
            <w:szCs w:val="24"/>
            <w:highlight w:val="white"/>
          </w:rPr>
          <w:t xml:space="preserve">Orientação para o Setor de Terras e Remoções do GHG </w:t>
        </w:r>
        <w:proofErr w:type="spellStart"/>
        <w:r w:rsidRPr="00A60100">
          <w:rPr>
            <w:rStyle w:val="Hyperlink"/>
            <w:rFonts w:ascii="Calibri" w:hAnsi="Calibri" w:cs="Calibri"/>
            <w:sz w:val="24"/>
            <w:szCs w:val="24"/>
            <w:highlight w:val="white"/>
          </w:rPr>
          <w:t>Protocol</w:t>
        </w:r>
        <w:proofErr w:type="spellEnd"/>
        <w:r w:rsidRPr="00A60100">
          <w:rPr>
            <w:rStyle w:val="Hyperlink"/>
            <w:rFonts w:ascii="Calibri" w:hAnsi="Calibri" w:cs="Calibri"/>
            <w:sz w:val="24"/>
            <w:szCs w:val="24"/>
            <w:highlight w:val="white"/>
          </w:rPr>
          <w:t xml:space="preserve"> (GHG LSRG em inglês)</w:t>
        </w:r>
      </w:hyperlink>
      <w:r w:rsidRPr="00324524">
        <w:rPr>
          <w:rFonts w:ascii="Calibri" w:hAnsi="Calibri" w:cs="Calibri"/>
          <w:sz w:val="24"/>
          <w:szCs w:val="24"/>
          <w:highlight w:val="white"/>
        </w:rPr>
        <w:t xml:space="preserve"> que se aplicam especificamente às emissões FLAG e possíveis remoções. </w:t>
      </w:r>
    </w:p>
    <w:p w14:paraId="7B1AFD07" w14:textId="77777777" w:rsidR="00A60100" w:rsidRDefault="00A60100" w:rsidP="00324524">
      <w:pPr>
        <w:spacing w:line="240" w:lineRule="auto"/>
        <w:jc w:val="both"/>
        <w:rPr>
          <w:rFonts w:ascii="Calibri" w:hAnsi="Calibri" w:cs="Calibri"/>
          <w:sz w:val="24"/>
          <w:szCs w:val="24"/>
          <w:highlight w:val="white"/>
        </w:rPr>
      </w:pPr>
    </w:p>
    <w:p w14:paraId="074FC697" w14:textId="438E9C98" w:rsidR="00A60100" w:rsidRDefault="00A60100" w:rsidP="00324524">
      <w:pPr>
        <w:spacing w:line="240" w:lineRule="auto"/>
        <w:jc w:val="both"/>
        <w:rPr>
          <w:rFonts w:ascii="Calibri" w:hAnsi="Calibri" w:cs="Calibri"/>
          <w:sz w:val="24"/>
          <w:szCs w:val="24"/>
          <w:highlight w:val="white"/>
        </w:rPr>
      </w:pPr>
      <w:r>
        <w:rPr>
          <w:rFonts w:ascii="Calibri" w:hAnsi="Calibri" w:cs="Calibri"/>
          <w:sz w:val="24"/>
          <w:szCs w:val="24"/>
          <w:highlight w:val="white"/>
        </w:rPr>
        <w:lastRenderedPageBreak/>
        <w:t>N</w:t>
      </w:r>
      <w:r w:rsidR="008629A3" w:rsidRPr="00324524">
        <w:rPr>
          <w:rFonts w:ascii="Calibri" w:hAnsi="Calibri" w:cs="Calibri"/>
          <w:sz w:val="24"/>
          <w:szCs w:val="24"/>
          <w:highlight w:val="white"/>
        </w:rPr>
        <w:t xml:space="preserve">este momento, devido aos requisitos de contabilização e validação do </w:t>
      </w:r>
      <w:hyperlink r:id="rId13" w:anchor="supporting-documents" w:history="1">
        <w:r w:rsidR="008629A3" w:rsidRPr="00A60100">
          <w:rPr>
            <w:rStyle w:val="Hyperlink"/>
            <w:rFonts w:ascii="Calibri" w:hAnsi="Calibri" w:cs="Calibri"/>
            <w:sz w:val="24"/>
            <w:szCs w:val="24"/>
            <w:highlight w:val="white"/>
          </w:rPr>
          <w:t>GHGP LSRG</w:t>
        </w:r>
      </w:hyperlink>
      <w:r w:rsidR="008629A3" w:rsidRPr="00324524">
        <w:rPr>
          <w:rFonts w:ascii="Calibri" w:hAnsi="Calibri" w:cs="Calibri"/>
          <w:sz w:val="24"/>
          <w:szCs w:val="24"/>
          <w:highlight w:val="white"/>
        </w:rPr>
        <w:t xml:space="preserve">, a </w:t>
      </w:r>
      <w:r>
        <w:rPr>
          <w:rFonts w:ascii="Calibri" w:hAnsi="Calibri" w:cs="Calibri"/>
          <w:sz w:val="24"/>
          <w:szCs w:val="24"/>
          <w:highlight w:val="white"/>
        </w:rPr>
        <w:t>C</w:t>
      </w:r>
      <w:r w:rsidR="008629A3" w:rsidRPr="00324524">
        <w:rPr>
          <w:rFonts w:ascii="Calibri" w:hAnsi="Calibri" w:cs="Calibri"/>
          <w:sz w:val="24"/>
          <w:szCs w:val="24"/>
          <w:highlight w:val="white"/>
        </w:rPr>
        <w:t xml:space="preserve">alculadora </w:t>
      </w:r>
      <w:proofErr w:type="spellStart"/>
      <w:r w:rsidR="008629A3" w:rsidRPr="00324524">
        <w:rPr>
          <w:rFonts w:ascii="Calibri" w:hAnsi="Calibri" w:cs="Calibri"/>
          <w:sz w:val="24"/>
          <w:szCs w:val="24"/>
          <w:highlight w:val="white"/>
        </w:rPr>
        <w:t>Bonsucro</w:t>
      </w:r>
      <w:proofErr w:type="spellEnd"/>
      <w:r w:rsidR="008629A3" w:rsidRPr="00324524">
        <w:rPr>
          <w:rFonts w:ascii="Calibri" w:hAnsi="Calibri" w:cs="Calibri"/>
          <w:sz w:val="24"/>
          <w:szCs w:val="24"/>
          <w:highlight w:val="white"/>
        </w:rPr>
        <w:t xml:space="preserve"> ainda não possui a capacidade de relatar remoções com confiabilidade.</w:t>
      </w:r>
    </w:p>
    <w:p w14:paraId="113A93EF" w14:textId="77777777" w:rsidR="00A60100" w:rsidRDefault="00A60100" w:rsidP="00324524">
      <w:pPr>
        <w:spacing w:line="240" w:lineRule="auto"/>
        <w:jc w:val="both"/>
        <w:rPr>
          <w:rFonts w:ascii="Calibri" w:hAnsi="Calibri" w:cs="Calibri"/>
          <w:sz w:val="24"/>
          <w:szCs w:val="24"/>
          <w:highlight w:val="white"/>
        </w:rPr>
      </w:pPr>
    </w:p>
    <w:p w14:paraId="26DFC7A0" w14:textId="5C58A0A7" w:rsidR="008629A3" w:rsidRPr="00324524" w:rsidRDefault="00A60100" w:rsidP="00324524">
      <w:pPr>
        <w:spacing w:line="240" w:lineRule="auto"/>
        <w:jc w:val="both"/>
        <w:rPr>
          <w:rFonts w:ascii="Calibri" w:hAnsi="Calibri" w:cs="Calibri"/>
          <w:color w:val="202124"/>
          <w:sz w:val="24"/>
          <w:szCs w:val="24"/>
        </w:rPr>
      </w:pPr>
      <w:r w:rsidRPr="00A60100">
        <w:rPr>
          <w:rFonts w:ascii="Calibri" w:hAnsi="Calibri" w:cs="Calibri"/>
          <w:sz w:val="24"/>
          <w:szCs w:val="24"/>
        </w:rPr>
        <w:t>Para empresas que não possuem um inventário de carbono e nenhum dado primário, os valores padrão de emissões de GEE são fornecidos na Ferramenta de definição de metas para uso em regiões geográficas selecionadas.</w:t>
      </w:r>
    </w:p>
    <w:p w14:paraId="71FA16CB" w14:textId="6FB33E9C" w:rsidR="008629A3" w:rsidRPr="00A60100" w:rsidRDefault="008629A3" w:rsidP="00324524">
      <w:pPr>
        <w:pStyle w:val="Heading1"/>
        <w:numPr>
          <w:ilvl w:val="0"/>
          <w:numId w:val="13"/>
        </w:numPr>
        <w:spacing w:before="400" w:after="120"/>
        <w:jc w:val="both"/>
        <w:rPr>
          <w:rFonts w:ascii="Calibri" w:hAnsi="Calibri" w:cs="Calibri"/>
          <w:color w:val="6A5E5A"/>
          <w:sz w:val="28"/>
          <w:szCs w:val="28"/>
        </w:rPr>
      </w:pPr>
      <w:r w:rsidRPr="00A60100">
        <w:rPr>
          <w:rFonts w:ascii="Calibri" w:hAnsi="Calibri" w:cs="Calibri"/>
          <w:color w:val="6A5E5A"/>
          <w:sz w:val="28"/>
          <w:szCs w:val="28"/>
        </w:rPr>
        <w:t>Métodos e Ciência do Caminho </w:t>
      </w:r>
    </w:p>
    <w:p w14:paraId="22496980" w14:textId="77777777" w:rsidR="008629A3" w:rsidRPr="00324524" w:rsidRDefault="008629A3" w:rsidP="00324524">
      <w:pPr>
        <w:pStyle w:val="Heading1"/>
        <w:spacing w:before="400" w:after="120"/>
        <w:jc w:val="both"/>
        <w:rPr>
          <w:rFonts w:ascii="Calibri" w:hAnsi="Calibri" w:cs="Calibri"/>
          <w:color w:val="6A5E5A"/>
          <w:sz w:val="24"/>
          <w:szCs w:val="24"/>
        </w:rPr>
      </w:pPr>
      <w:r w:rsidRPr="00324524">
        <w:rPr>
          <w:rFonts w:ascii="Calibri" w:hAnsi="Calibri" w:cs="Calibri"/>
          <w:color w:val="6A5E5A"/>
          <w:sz w:val="24"/>
          <w:szCs w:val="24"/>
        </w:rPr>
        <w:t>Contexto do Caminho</w:t>
      </w:r>
    </w:p>
    <w:p w14:paraId="756121CC"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A ferramenta do caminho de emissões da cana-de-açúcar permite que os usuários insiram suas emissões FLAG do ano-base, fornecendo um caminho claramente definido para as reduções de emissões necessárias nas 27 regiões IMAGE cobertas pela ferramenta. </w:t>
      </w:r>
    </w:p>
    <w:p w14:paraId="2A5A8832" w14:textId="77777777" w:rsidR="008629A3" w:rsidRPr="00324524" w:rsidRDefault="008629A3" w:rsidP="00324524">
      <w:pPr>
        <w:jc w:val="both"/>
        <w:rPr>
          <w:rFonts w:ascii="Calibri" w:hAnsi="Calibri" w:cs="Calibri"/>
          <w:sz w:val="24"/>
          <w:szCs w:val="24"/>
          <w:highlight w:val="white"/>
        </w:rPr>
      </w:pPr>
    </w:p>
    <w:p w14:paraId="6E27AE05"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De modo geral, 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utiliza dois métodos para calcular as reduções necessárias em contextos agrícolas:</w:t>
      </w:r>
    </w:p>
    <w:p w14:paraId="034BD714"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highlight w:val="white"/>
        </w:rPr>
      </w:pPr>
    </w:p>
    <w:p w14:paraId="0F86C50E" w14:textId="6AD5E14F" w:rsidR="008629A3" w:rsidRPr="00324524" w:rsidRDefault="008629A3" w:rsidP="00324524">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rPr>
      </w:pPr>
      <w:r w:rsidRPr="00324524">
        <w:rPr>
          <w:rFonts w:ascii="Calibri" w:hAnsi="Calibri" w:cs="Calibri"/>
          <w:b/>
          <w:sz w:val="24"/>
          <w:szCs w:val="24"/>
          <w:highlight w:val="white"/>
        </w:rPr>
        <w:t>Caminho Setorial.</w:t>
      </w:r>
      <w:r w:rsidRPr="00324524">
        <w:rPr>
          <w:rFonts w:ascii="Calibri" w:hAnsi="Calibri" w:cs="Calibri"/>
          <w:color w:val="000000"/>
          <w:sz w:val="24"/>
          <w:szCs w:val="24"/>
          <w:highlight w:val="white"/>
        </w:rPr>
        <w:t xml:space="preserve">  </w:t>
      </w:r>
      <w:r w:rsidRPr="00324524">
        <w:rPr>
          <w:rFonts w:ascii="Calibri" w:hAnsi="Calibri" w:cs="Calibri"/>
          <w:sz w:val="24"/>
          <w:szCs w:val="24"/>
          <w:highlight w:val="white"/>
        </w:rPr>
        <w:t xml:space="preserve">Este caminho requer uma redução absoluta de emissões, independentemente do crescimento, e segue uma trajetória de redução anual linear de 3,03%. Esse caminho é recomendado para “atores vinculados </w:t>
      </w:r>
      <w:r w:rsidR="00BF739D" w:rsidRPr="00324524">
        <w:rPr>
          <w:rFonts w:ascii="Calibri" w:hAnsi="Calibri" w:cs="Calibri"/>
          <w:sz w:val="24"/>
          <w:szCs w:val="24"/>
          <w:highlight w:val="white"/>
        </w:rPr>
        <w:t>ao lado da</w:t>
      </w:r>
      <w:r w:rsidRPr="00324524">
        <w:rPr>
          <w:rFonts w:ascii="Calibri" w:hAnsi="Calibri" w:cs="Calibri"/>
          <w:sz w:val="24"/>
          <w:szCs w:val="24"/>
          <w:highlight w:val="white"/>
        </w:rPr>
        <w:t xml:space="preserve"> demanda”, como empresas de embalagens de bens de consumo ou empresas cujas emissões FLAG se enquadram no escopo 3. Uma ferramenta de definição de metas setoriais está disponível no </w:t>
      </w:r>
      <w:hyperlink r:id="rId14" w:history="1">
        <w:r w:rsidRPr="00A60100">
          <w:rPr>
            <w:rStyle w:val="Hyperlink"/>
            <w:rFonts w:ascii="Calibri" w:hAnsi="Calibri" w:cs="Calibri"/>
            <w:sz w:val="24"/>
            <w:szCs w:val="24"/>
            <w:highlight w:val="white"/>
          </w:rPr>
          <w:t xml:space="preserve">site da </w:t>
        </w:r>
        <w:proofErr w:type="spellStart"/>
        <w:r w:rsidRPr="00A60100">
          <w:rPr>
            <w:rStyle w:val="Hyperlink"/>
            <w:rFonts w:ascii="Calibri" w:hAnsi="Calibri" w:cs="Calibri"/>
            <w:sz w:val="24"/>
            <w:szCs w:val="24"/>
            <w:highlight w:val="white"/>
          </w:rPr>
          <w:t>SBTi</w:t>
        </w:r>
        <w:proofErr w:type="spellEnd"/>
      </w:hyperlink>
      <w:r w:rsidRPr="00324524">
        <w:rPr>
          <w:rFonts w:ascii="Calibri" w:hAnsi="Calibri" w:cs="Calibri"/>
          <w:sz w:val="24"/>
          <w:szCs w:val="24"/>
          <w:highlight w:val="white"/>
        </w:rPr>
        <w:t>.</w:t>
      </w:r>
      <w:r w:rsidRPr="00324524">
        <w:rPr>
          <w:rFonts w:ascii="Calibri" w:hAnsi="Calibri" w:cs="Calibri"/>
          <w:color w:val="000000"/>
          <w:sz w:val="24"/>
          <w:szCs w:val="24"/>
          <w:highlight w:val="white"/>
        </w:rPr>
        <w:t> </w:t>
      </w:r>
    </w:p>
    <w:p w14:paraId="404252B3" w14:textId="230B1C9E" w:rsidR="008629A3" w:rsidRPr="00324524" w:rsidRDefault="008629A3" w:rsidP="00324524">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rPr>
      </w:pPr>
      <w:r w:rsidRPr="00324524">
        <w:rPr>
          <w:rFonts w:ascii="Calibri" w:hAnsi="Calibri" w:cs="Calibri"/>
          <w:b/>
          <w:sz w:val="24"/>
          <w:szCs w:val="24"/>
          <w:highlight w:val="white"/>
        </w:rPr>
        <w:t>Caminho Específico de Commodities.</w:t>
      </w:r>
      <w:r w:rsidRPr="00324524">
        <w:rPr>
          <w:rFonts w:ascii="Calibri" w:hAnsi="Calibri" w:cs="Calibri"/>
          <w:color w:val="000000"/>
          <w:sz w:val="24"/>
          <w:szCs w:val="24"/>
          <w:highlight w:val="white"/>
        </w:rPr>
        <w:t xml:space="preserve"> </w:t>
      </w:r>
      <w:r w:rsidRPr="00324524">
        <w:rPr>
          <w:rFonts w:ascii="Calibri" w:hAnsi="Calibri" w:cs="Calibri"/>
          <w:sz w:val="24"/>
          <w:szCs w:val="24"/>
          <w:highlight w:val="white"/>
        </w:rPr>
        <w:t xml:space="preserve">Os modelos do caminho de commodities são específicos para certas commodities agrícolas. Nesses caminhos, a taxa de redução anual é aplicada com base na quantidade de emissões e considerando o crescimento pretendido em volume, conhecida como abordagem de intensidade. Esses caminhos são recomendados para “atores vinculados ao </w:t>
      </w:r>
      <w:r w:rsidR="00243205" w:rsidRPr="00324524">
        <w:rPr>
          <w:rFonts w:ascii="Calibri" w:hAnsi="Calibri" w:cs="Calibri"/>
          <w:sz w:val="24"/>
          <w:szCs w:val="24"/>
          <w:highlight w:val="white"/>
        </w:rPr>
        <w:t xml:space="preserve">lado do </w:t>
      </w:r>
      <w:r w:rsidRPr="00324524">
        <w:rPr>
          <w:rFonts w:ascii="Calibri" w:hAnsi="Calibri" w:cs="Calibri"/>
          <w:sz w:val="24"/>
          <w:szCs w:val="24"/>
          <w:highlight w:val="white"/>
        </w:rPr>
        <w:t>abastecimento” cuja atividade principal é agricultura ou produção florestal, e as emissões FLAG se enquadram no escopo 1. Existem caminhos específicos para carne bovina, suína, de frango, laticínios, couro, trigo, milho, arroz, óleo de palma, soja, madeira e fibra de madeira em 26 regiões. </w:t>
      </w:r>
    </w:p>
    <w:p w14:paraId="4B6B78BD"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7503D116"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Atualmente, os caminhos de commodities não são exigidos pela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exceto para a indústria madeireira; no entanto, a perspectiva das commodities e da geografia são úteis para fins de comunicação adicional e rastreamento do progresso interno. </w:t>
      </w:r>
    </w:p>
    <w:p w14:paraId="2E791E72"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7791D327" w14:textId="77777777" w:rsidR="008629A3"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 ferramenta do caminho de emissões da cana-de-açúcar foi projetada de forma semelhante a outros caminhos de commodities FLAG da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xml:space="preserve"> (trigo, soja, </w:t>
      </w:r>
      <w:proofErr w:type="gramStart"/>
      <w:r w:rsidRPr="00324524">
        <w:rPr>
          <w:rFonts w:ascii="Calibri" w:hAnsi="Calibri" w:cs="Calibri"/>
          <w:sz w:val="24"/>
          <w:szCs w:val="24"/>
          <w:highlight w:val="white"/>
        </w:rPr>
        <w:t xml:space="preserve">laticínios </w:t>
      </w:r>
      <w:proofErr w:type="spellStart"/>
      <w:r w:rsidRPr="00324524">
        <w:rPr>
          <w:rFonts w:ascii="Calibri" w:hAnsi="Calibri" w:cs="Calibri"/>
          <w:sz w:val="24"/>
          <w:szCs w:val="24"/>
          <w:highlight w:val="white"/>
        </w:rPr>
        <w:t>etc</w:t>
      </w:r>
      <w:proofErr w:type="spellEnd"/>
      <w:proofErr w:type="gramEnd"/>
      <w:r w:rsidRPr="00324524">
        <w:rPr>
          <w:rFonts w:ascii="Calibri" w:hAnsi="Calibri" w:cs="Calibri"/>
          <w:sz w:val="24"/>
          <w:szCs w:val="24"/>
          <w:highlight w:val="white"/>
        </w:rPr>
        <w:t xml:space="preserve">), de modo que se trata de uma ferramenta baseada na intensidade, dedicada apenas à cana-de-açúcar, que inclui uma representação geograficamente específica, conforme elucidado nos itens a seguir. Embora seja importante definir metas em toda a cadeia de valor e para todos os escopos de </w:t>
      </w:r>
      <w:r w:rsidRPr="00324524">
        <w:rPr>
          <w:rFonts w:ascii="Calibri" w:hAnsi="Calibri" w:cs="Calibri"/>
          <w:sz w:val="24"/>
          <w:szCs w:val="24"/>
          <w:highlight w:val="white"/>
        </w:rPr>
        <w:lastRenderedPageBreak/>
        <w:t>emissões, observe que a ferramenta não cobre as emissões de transporte e processamento de cana-de-açúcar além da propriedade rural.</w:t>
      </w:r>
    </w:p>
    <w:p w14:paraId="482117FA" w14:textId="77777777" w:rsidR="00A60100" w:rsidRPr="00324524" w:rsidRDefault="00A60100" w:rsidP="00324524">
      <w:pPr>
        <w:pBdr>
          <w:top w:val="nil"/>
          <w:left w:val="nil"/>
          <w:bottom w:val="nil"/>
          <w:right w:val="nil"/>
          <w:between w:val="nil"/>
        </w:pBdr>
        <w:spacing w:line="240" w:lineRule="auto"/>
        <w:jc w:val="both"/>
        <w:rPr>
          <w:rFonts w:ascii="Calibri" w:hAnsi="Calibri" w:cs="Calibri"/>
          <w:sz w:val="24"/>
          <w:szCs w:val="24"/>
          <w:highlight w:val="white"/>
        </w:rPr>
      </w:pPr>
    </w:p>
    <w:p w14:paraId="305E73E8"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A integração do caminho da commodity da cana-de-açúcar alinhada com a ferramenta FLAG é baseada na criação ou adaptação de cinco conjuntos de dados: </w:t>
      </w:r>
    </w:p>
    <w:p w14:paraId="3291651F" w14:textId="137AC52F" w:rsidR="008629A3" w:rsidRPr="00324524" w:rsidRDefault="008629A3" w:rsidP="0032452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sz w:val="24"/>
          <w:szCs w:val="24"/>
          <w:highlight w:val="white"/>
        </w:rPr>
        <w:t xml:space="preserve">Previsões da produção </w:t>
      </w:r>
      <w:r w:rsidR="002365F1" w:rsidRPr="00324524">
        <w:rPr>
          <w:rFonts w:ascii="Calibri" w:hAnsi="Calibri" w:cs="Calibri"/>
          <w:sz w:val="24"/>
          <w:szCs w:val="24"/>
          <w:highlight w:val="white"/>
        </w:rPr>
        <w:t>de cana-de-açúcar</w:t>
      </w:r>
      <w:r w:rsidR="002365F1" w:rsidRPr="00324524">
        <w:rPr>
          <w:rFonts w:ascii="Calibri" w:hAnsi="Calibri" w:cs="Calibri"/>
          <w:sz w:val="24"/>
          <w:szCs w:val="24"/>
          <w:highlight w:val="white"/>
        </w:rPr>
        <w:t xml:space="preserve"> </w:t>
      </w:r>
      <w:r w:rsidRPr="00324524">
        <w:rPr>
          <w:rFonts w:ascii="Calibri" w:hAnsi="Calibri" w:cs="Calibri"/>
          <w:sz w:val="24"/>
          <w:szCs w:val="24"/>
          <w:highlight w:val="white"/>
        </w:rPr>
        <w:t>de 2015 a 2050, </w:t>
      </w:r>
    </w:p>
    <w:p w14:paraId="0EE127F0" w14:textId="77777777" w:rsidR="008629A3" w:rsidRPr="00324524" w:rsidRDefault="008629A3" w:rsidP="0032452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sz w:val="24"/>
          <w:szCs w:val="24"/>
          <w:highlight w:val="white"/>
        </w:rPr>
        <w:t>Rendimentos regionalizados da produção de cana-de-açúcar, </w:t>
      </w:r>
    </w:p>
    <w:p w14:paraId="6EC5D536" w14:textId="77777777" w:rsidR="008629A3" w:rsidRPr="00324524" w:rsidRDefault="008629A3" w:rsidP="0032452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sz w:val="24"/>
          <w:szCs w:val="24"/>
          <w:highlight w:val="white"/>
        </w:rPr>
        <w:t>Emissões de manejo da terra da produção de cana-de-açúcar, </w:t>
      </w:r>
    </w:p>
    <w:p w14:paraId="36916D35" w14:textId="77777777" w:rsidR="008629A3" w:rsidRPr="00324524" w:rsidRDefault="008629A3" w:rsidP="0032452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sz w:val="24"/>
          <w:szCs w:val="24"/>
          <w:highlight w:val="white"/>
        </w:rPr>
        <w:t>Emissões de mudança de uso de terras alocadas para cana-de-açúcar e </w:t>
      </w:r>
    </w:p>
    <w:p w14:paraId="04175603" w14:textId="5CC9873A" w:rsidR="008629A3" w:rsidRPr="00324524" w:rsidRDefault="008629A3" w:rsidP="0032452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324524">
        <w:rPr>
          <w:rFonts w:ascii="Calibri" w:hAnsi="Calibri" w:cs="Calibri"/>
          <w:sz w:val="24"/>
          <w:szCs w:val="24"/>
          <w:highlight w:val="white"/>
        </w:rPr>
        <w:t xml:space="preserve">Um </w:t>
      </w:r>
      <w:r w:rsidR="00D66670" w:rsidRPr="00324524">
        <w:rPr>
          <w:rFonts w:ascii="Calibri" w:hAnsi="Calibri" w:cs="Calibri"/>
          <w:sz w:val="24"/>
          <w:szCs w:val="24"/>
          <w:highlight w:val="white"/>
        </w:rPr>
        <w:t>valor alvo</w:t>
      </w:r>
      <w:r w:rsidRPr="00324524">
        <w:rPr>
          <w:rFonts w:ascii="Calibri" w:hAnsi="Calibri" w:cs="Calibri"/>
          <w:sz w:val="24"/>
          <w:szCs w:val="24"/>
          <w:highlight w:val="white"/>
        </w:rPr>
        <w:t xml:space="preserve"> para remoções atribuídas à produção de cana-de-açúcar na propriedade rural.</w:t>
      </w:r>
    </w:p>
    <w:p w14:paraId="0E4B56B5" w14:textId="77777777" w:rsidR="008629A3" w:rsidRPr="00324524" w:rsidRDefault="008629A3" w:rsidP="00324524">
      <w:pPr>
        <w:spacing w:line="240" w:lineRule="auto"/>
        <w:jc w:val="both"/>
        <w:rPr>
          <w:rFonts w:ascii="Calibri" w:hAnsi="Calibri" w:cs="Calibri"/>
          <w:sz w:val="24"/>
          <w:szCs w:val="24"/>
          <w:highlight w:val="white"/>
        </w:rPr>
      </w:pPr>
    </w:p>
    <w:p w14:paraId="7B4A1845" w14:textId="77777777"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Previsões de Produção</w:t>
      </w:r>
    </w:p>
    <w:p w14:paraId="649209F2" w14:textId="77777777" w:rsidR="008629A3" w:rsidRPr="00324524" w:rsidRDefault="008629A3" w:rsidP="00324524">
      <w:pPr>
        <w:spacing w:line="240" w:lineRule="auto"/>
        <w:jc w:val="both"/>
        <w:rPr>
          <w:rFonts w:ascii="Calibri" w:hAnsi="Calibri" w:cs="Calibri"/>
          <w:b/>
          <w:sz w:val="24"/>
          <w:szCs w:val="24"/>
          <w:highlight w:val="white"/>
        </w:rPr>
      </w:pPr>
    </w:p>
    <w:p w14:paraId="519484EB"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Para completar o cálculo baseado em intensidade, os aumentos de produção esperados para uma empresa devem ser comparados com as médias globais de produção. Os dados da FAO foram utilizados para compilar a produção anual em cada região IMAGE nos anos de 2005 a 2021 (</w:t>
      </w:r>
      <w:proofErr w:type="spellStart"/>
      <w:r w:rsidRPr="00324524">
        <w:rPr>
          <w:rFonts w:ascii="Calibri" w:hAnsi="Calibri" w:cs="Calibri"/>
          <w:sz w:val="24"/>
          <w:szCs w:val="24"/>
          <w:highlight w:val="white"/>
        </w:rPr>
        <w:t>FAOstat</w:t>
      </w:r>
      <w:proofErr w:type="spellEnd"/>
      <w:r w:rsidRPr="00324524">
        <w:rPr>
          <w:rFonts w:ascii="Calibri" w:hAnsi="Calibri" w:cs="Calibri"/>
          <w:sz w:val="24"/>
          <w:szCs w:val="24"/>
          <w:highlight w:val="white"/>
        </w:rPr>
        <w:t xml:space="preserve"> 2022). Os volumes de produção de cana-de-açúcar foram previstos utilizando o Panorama Agrícola da OCDE para os anos 2022-2031 e foram projetados para 2050 usando o cenário IMAGE SSP2-26 para a produção de culturas energéticas (OCDE 2022, </w:t>
      </w:r>
      <w:proofErr w:type="spellStart"/>
      <w:r w:rsidRPr="00324524">
        <w:rPr>
          <w:rFonts w:ascii="Calibri" w:hAnsi="Calibri" w:cs="Calibri"/>
          <w:sz w:val="24"/>
          <w:szCs w:val="24"/>
          <w:highlight w:val="white"/>
        </w:rPr>
        <w:t>Riahi</w:t>
      </w:r>
      <w:proofErr w:type="spellEnd"/>
      <w:r w:rsidRPr="00324524">
        <w:rPr>
          <w:rFonts w:ascii="Calibri" w:hAnsi="Calibri" w:cs="Calibri"/>
          <w:sz w:val="24"/>
          <w:szCs w:val="24"/>
          <w:highlight w:val="white"/>
        </w:rPr>
        <w:t xml:space="preserve"> et al. 2017). Esses dados representam valores globais (OCDE e IMAGE) e foram desagregados por região, calculando a fração de produção da FAO de cada região IMAGE com base na média dos anos de 2019 a 2021. </w:t>
      </w:r>
    </w:p>
    <w:p w14:paraId="49BC1CD0" w14:textId="77777777" w:rsidR="008629A3" w:rsidRPr="00324524" w:rsidRDefault="008629A3" w:rsidP="00324524">
      <w:pPr>
        <w:spacing w:line="240" w:lineRule="auto"/>
        <w:jc w:val="both"/>
        <w:rPr>
          <w:rFonts w:ascii="Calibri" w:hAnsi="Calibri" w:cs="Calibri"/>
          <w:sz w:val="24"/>
          <w:szCs w:val="24"/>
          <w:highlight w:val="white"/>
        </w:rPr>
      </w:pPr>
    </w:p>
    <w:p w14:paraId="50AA318D" w14:textId="77777777"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Emissões do Manejo de Terras</w:t>
      </w:r>
    </w:p>
    <w:p w14:paraId="2C3BCDD5" w14:textId="77777777" w:rsidR="008629A3" w:rsidRPr="00324524" w:rsidRDefault="008629A3" w:rsidP="00324524">
      <w:pPr>
        <w:spacing w:line="240" w:lineRule="auto"/>
        <w:jc w:val="both"/>
        <w:rPr>
          <w:rFonts w:ascii="Calibri" w:hAnsi="Calibri" w:cs="Calibri"/>
          <w:b/>
          <w:sz w:val="24"/>
          <w:szCs w:val="24"/>
          <w:highlight w:val="white"/>
        </w:rPr>
      </w:pPr>
    </w:p>
    <w:p w14:paraId="0D543588" w14:textId="3D5EC696"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Os caminhos das commodities da cana-de-açúcar incluem emissões padrões de manejo da terra derivadas d</w:t>
      </w:r>
      <w:r w:rsidR="00205D5F" w:rsidRPr="00324524">
        <w:rPr>
          <w:rFonts w:ascii="Calibri" w:hAnsi="Calibri" w:cs="Calibri"/>
          <w:sz w:val="24"/>
          <w:szCs w:val="24"/>
          <w:highlight w:val="white"/>
        </w:rPr>
        <w:t>a</w:t>
      </w:r>
      <w:r w:rsidRPr="00324524">
        <w:rPr>
          <w:rFonts w:ascii="Calibri" w:hAnsi="Calibri" w:cs="Calibri"/>
          <w:sz w:val="24"/>
          <w:szCs w:val="24"/>
          <w:highlight w:val="white"/>
        </w:rPr>
        <w:t xml:space="preserve"> </w:t>
      </w:r>
      <w:r w:rsidRPr="00324524">
        <w:rPr>
          <w:rFonts w:ascii="Calibri" w:hAnsi="Calibri" w:cs="Calibri"/>
          <w:i/>
          <w:iCs/>
          <w:sz w:val="24"/>
          <w:szCs w:val="24"/>
          <w:highlight w:val="white"/>
        </w:rPr>
        <w:t xml:space="preserve">World Food Life </w:t>
      </w:r>
      <w:proofErr w:type="spellStart"/>
      <w:r w:rsidRPr="00324524">
        <w:rPr>
          <w:rFonts w:ascii="Calibri" w:hAnsi="Calibri" w:cs="Calibri"/>
          <w:i/>
          <w:iCs/>
          <w:sz w:val="24"/>
          <w:szCs w:val="24"/>
          <w:highlight w:val="white"/>
        </w:rPr>
        <w:t>Cycle</w:t>
      </w:r>
      <w:proofErr w:type="spellEnd"/>
      <w:r w:rsidRPr="00324524">
        <w:rPr>
          <w:rFonts w:ascii="Calibri" w:hAnsi="Calibri" w:cs="Calibri"/>
          <w:i/>
          <w:iCs/>
          <w:sz w:val="24"/>
          <w:szCs w:val="24"/>
          <w:highlight w:val="white"/>
        </w:rPr>
        <w:t xml:space="preserve"> </w:t>
      </w:r>
      <w:proofErr w:type="spellStart"/>
      <w:r w:rsidRPr="00324524">
        <w:rPr>
          <w:rFonts w:ascii="Calibri" w:hAnsi="Calibri" w:cs="Calibri"/>
          <w:i/>
          <w:iCs/>
          <w:sz w:val="24"/>
          <w:szCs w:val="24"/>
          <w:highlight w:val="white"/>
        </w:rPr>
        <w:t>Database</w:t>
      </w:r>
      <w:proofErr w:type="spellEnd"/>
      <w:r w:rsidRPr="00324524">
        <w:rPr>
          <w:rFonts w:ascii="Calibri" w:hAnsi="Calibri" w:cs="Calibri"/>
          <w:sz w:val="24"/>
          <w:szCs w:val="24"/>
          <w:highlight w:val="white"/>
        </w:rPr>
        <w:t xml:space="preserve"> </w:t>
      </w:r>
      <w:r w:rsidR="00D66670" w:rsidRPr="00324524">
        <w:rPr>
          <w:rFonts w:ascii="Calibri" w:hAnsi="Calibri" w:cs="Calibri"/>
          <w:sz w:val="24"/>
          <w:szCs w:val="24"/>
          <w:highlight w:val="white"/>
        </w:rPr>
        <w:t xml:space="preserve">(Base de Dados Mundial do Ciclo de Vida de Alimentos) </w:t>
      </w:r>
      <w:r w:rsidRPr="00324524">
        <w:rPr>
          <w:rFonts w:ascii="Calibri" w:hAnsi="Calibri" w:cs="Calibri"/>
          <w:sz w:val="24"/>
          <w:szCs w:val="24"/>
          <w:highlight w:val="white"/>
        </w:rPr>
        <w:t xml:space="preserve">(WFLDB), cujos dados não estão disponíveis com relação à coleta de dados primários ou ao uso da calculadora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A Tabela 2 resume os principais fatores de impacto capturados no cálculo FLAG para as emissões do manejo da terra da cana-de-açúcar. </w:t>
      </w:r>
    </w:p>
    <w:p w14:paraId="72964B04"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highlight w:val="white"/>
        </w:rPr>
      </w:pPr>
    </w:p>
    <w:p w14:paraId="0AC8C387" w14:textId="38A1AA16" w:rsidR="008629A3" w:rsidRPr="00324524" w:rsidRDefault="008629A3" w:rsidP="00A60100">
      <w:pPr>
        <w:spacing w:line="240" w:lineRule="auto"/>
        <w:jc w:val="center"/>
        <w:rPr>
          <w:rFonts w:ascii="Calibri" w:hAnsi="Calibri" w:cs="Calibri"/>
          <w:sz w:val="24"/>
          <w:szCs w:val="24"/>
        </w:rPr>
      </w:pPr>
      <w:r w:rsidRPr="00324524">
        <w:rPr>
          <w:rFonts w:ascii="Calibri" w:hAnsi="Calibri" w:cs="Calibri"/>
          <w:i/>
          <w:color w:val="000000"/>
          <w:sz w:val="24"/>
          <w:szCs w:val="24"/>
        </w:rPr>
        <w:t>Tabela 2. Exemplo de emissões FLAG da cana-de-açúcar</w:t>
      </w:r>
    </w:p>
    <w:tbl>
      <w:tblPr>
        <w:tblW w:w="7434" w:type="dxa"/>
        <w:jc w:val="center"/>
        <w:tblLayout w:type="fixed"/>
        <w:tblLook w:val="0400" w:firstRow="0" w:lastRow="0" w:firstColumn="0" w:lastColumn="0" w:noHBand="0" w:noVBand="1"/>
      </w:tblPr>
      <w:tblGrid>
        <w:gridCol w:w="7434"/>
      </w:tblGrid>
      <w:tr w:rsidR="008629A3" w:rsidRPr="00324524" w14:paraId="0944EB7D"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5301DB3F" w14:textId="74CDAC75"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de fertilizantes (NPK), bem como de</w:t>
            </w:r>
            <w:r w:rsidR="00205D5F" w:rsidRPr="00324524">
              <w:rPr>
                <w:rFonts w:ascii="Calibri" w:hAnsi="Calibri" w:cs="Calibri"/>
                <w:color w:val="000000"/>
                <w:sz w:val="24"/>
                <w:szCs w:val="24"/>
              </w:rPr>
              <w:t xml:space="preserve"> seu</w:t>
            </w:r>
            <w:r w:rsidRPr="00324524">
              <w:rPr>
                <w:rFonts w:ascii="Calibri" w:hAnsi="Calibri" w:cs="Calibri"/>
                <w:color w:val="000000"/>
                <w:sz w:val="24"/>
                <w:szCs w:val="24"/>
              </w:rPr>
              <w:t xml:space="preserve"> transporte e produção</w:t>
            </w:r>
          </w:p>
        </w:tc>
      </w:tr>
      <w:tr w:rsidR="008629A3" w:rsidRPr="00324524" w14:paraId="1C97DA01"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340AC798" w14:textId="6DC12E7C"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de cal, bem como de</w:t>
            </w:r>
            <w:r w:rsidR="00205D5F" w:rsidRPr="00324524">
              <w:rPr>
                <w:rFonts w:ascii="Calibri" w:hAnsi="Calibri" w:cs="Calibri"/>
                <w:color w:val="000000"/>
                <w:sz w:val="24"/>
                <w:szCs w:val="24"/>
              </w:rPr>
              <w:t xml:space="preserve"> seu</w:t>
            </w:r>
            <w:r w:rsidRPr="00324524">
              <w:rPr>
                <w:rFonts w:ascii="Calibri" w:hAnsi="Calibri" w:cs="Calibri"/>
                <w:color w:val="000000"/>
                <w:sz w:val="24"/>
                <w:szCs w:val="24"/>
              </w:rPr>
              <w:t xml:space="preserve"> transporte e produção </w:t>
            </w:r>
          </w:p>
        </w:tc>
      </w:tr>
      <w:tr w:rsidR="008629A3" w:rsidRPr="00324524" w14:paraId="0C4B4801"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8930C4B"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Uso de herbicidas e pesticidas, bem como seu transporte e produção </w:t>
            </w:r>
          </w:p>
        </w:tc>
      </w:tr>
      <w:tr w:rsidR="008629A3" w:rsidRPr="00324524" w14:paraId="4C4B5004"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3F160F07"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Uso de energia de edifícios e máquinas (p.ex. gasolina, diesel, gás natural, eletricidade)  </w:t>
            </w:r>
          </w:p>
        </w:tc>
      </w:tr>
      <w:tr w:rsidR="008629A3" w:rsidRPr="00324524" w14:paraId="1FB7607D"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0498671"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Combustível de aviação </w:t>
            </w:r>
          </w:p>
        </w:tc>
      </w:tr>
      <w:tr w:rsidR="008629A3" w:rsidRPr="00324524" w14:paraId="0B859AF9"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58FD612B"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da queima da cana-de-açúcar</w:t>
            </w:r>
          </w:p>
        </w:tc>
      </w:tr>
      <w:tr w:rsidR="008629A3" w:rsidRPr="00324524" w14:paraId="7B65FA83"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F96E899"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de resíduos da safra deixados nos campos</w:t>
            </w:r>
          </w:p>
        </w:tc>
      </w:tr>
      <w:tr w:rsidR="008629A3" w:rsidRPr="00324524" w14:paraId="012FFD41"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24877FE"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da torta de filtro</w:t>
            </w:r>
          </w:p>
        </w:tc>
      </w:tr>
      <w:tr w:rsidR="008629A3" w:rsidRPr="00324524" w14:paraId="67570BCF"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29136003"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lastRenderedPageBreak/>
              <w:t xml:space="preserve">  Emissões da vinhaça</w:t>
            </w:r>
          </w:p>
        </w:tc>
      </w:tr>
      <w:tr w:rsidR="008629A3" w:rsidRPr="00324524" w14:paraId="1D2AF22E"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16CFCCD"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de energia usada na irrigação</w:t>
            </w:r>
          </w:p>
        </w:tc>
      </w:tr>
      <w:tr w:rsidR="008629A3" w:rsidRPr="00324524" w14:paraId="07BEC817" w14:textId="77777777" w:rsidTr="00A60100">
        <w:trPr>
          <w:trHeight w:val="288"/>
          <w:jc w:val="center"/>
        </w:trPr>
        <w:tc>
          <w:tcPr>
            <w:tcW w:w="743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399A0E9" w14:textId="77777777" w:rsidR="008629A3" w:rsidRPr="00324524" w:rsidRDefault="008629A3" w:rsidP="00324524">
            <w:pPr>
              <w:spacing w:line="240" w:lineRule="auto"/>
              <w:jc w:val="both"/>
              <w:rPr>
                <w:rFonts w:ascii="Calibri" w:hAnsi="Calibri" w:cs="Calibri"/>
                <w:sz w:val="24"/>
                <w:szCs w:val="24"/>
              </w:rPr>
            </w:pPr>
            <w:r w:rsidRPr="00324524">
              <w:rPr>
                <w:rFonts w:ascii="Calibri" w:hAnsi="Calibri" w:cs="Calibri"/>
                <w:color w:val="000000"/>
                <w:sz w:val="24"/>
                <w:szCs w:val="24"/>
              </w:rPr>
              <w:t xml:space="preserve">  Emissões de produtos de maturação e outros produtos químicos agrícolas, bem como seu transporte e produção </w:t>
            </w:r>
          </w:p>
        </w:tc>
      </w:tr>
    </w:tbl>
    <w:p w14:paraId="3D0ECBBC" w14:textId="77777777" w:rsidR="008629A3" w:rsidRPr="00324524" w:rsidRDefault="008629A3" w:rsidP="00324524">
      <w:pPr>
        <w:spacing w:line="240" w:lineRule="auto"/>
        <w:jc w:val="both"/>
        <w:rPr>
          <w:rFonts w:ascii="Calibri" w:hAnsi="Calibri" w:cs="Calibri"/>
          <w:sz w:val="24"/>
          <w:szCs w:val="24"/>
        </w:rPr>
      </w:pPr>
    </w:p>
    <w:p w14:paraId="7BAAB9AB"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O caminho de intensidade das emissões foi projetado assumindo que a intensidade da cana-de-açúcar evoluirá a uma taxa semelhante à das commodities agrícolas (trigo, soja, milho, arroz), conforme calculado no modelo IMAGE original.</w:t>
      </w:r>
    </w:p>
    <w:p w14:paraId="5FA1D52C" w14:textId="77777777" w:rsidR="008629A3" w:rsidRPr="00324524" w:rsidRDefault="008629A3" w:rsidP="00324524">
      <w:pPr>
        <w:spacing w:line="240" w:lineRule="auto"/>
        <w:jc w:val="both"/>
        <w:rPr>
          <w:rFonts w:ascii="Calibri" w:hAnsi="Calibri" w:cs="Calibri"/>
          <w:sz w:val="24"/>
          <w:szCs w:val="24"/>
        </w:rPr>
      </w:pPr>
    </w:p>
    <w:p w14:paraId="5E7BE328" w14:textId="77777777" w:rsidR="008629A3" w:rsidRPr="00324524" w:rsidRDefault="008629A3" w:rsidP="00324524">
      <w:pPr>
        <w:spacing w:line="240" w:lineRule="auto"/>
        <w:jc w:val="both"/>
        <w:rPr>
          <w:rFonts w:ascii="Calibri" w:hAnsi="Calibri" w:cs="Calibri"/>
          <w:sz w:val="24"/>
          <w:szCs w:val="24"/>
        </w:rPr>
      </w:pPr>
    </w:p>
    <w:p w14:paraId="62327DEC" w14:textId="2830AA82" w:rsidR="008629A3" w:rsidRPr="00324524" w:rsidRDefault="008629A3" w:rsidP="00324524">
      <w:pP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Emissões de mudança de uso da terra</w:t>
      </w:r>
      <w:r w:rsidR="002A39CA" w:rsidRPr="00324524">
        <w:rPr>
          <w:rFonts w:ascii="Calibri" w:hAnsi="Calibri" w:cs="Calibri"/>
          <w:b/>
          <w:sz w:val="24"/>
          <w:szCs w:val="24"/>
          <w:highlight w:val="white"/>
        </w:rPr>
        <w:t xml:space="preserve"> (LUC)</w:t>
      </w:r>
      <w:r w:rsidRPr="00324524">
        <w:rPr>
          <w:rFonts w:ascii="Calibri" w:hAnsi="Calibri" w:cs="Calibri"/>
          <w:b/>
          <w:sz w:val="24"/>
          <w:szCs w:val="24"/>
          <w:highlight w:val="white"/>
        </w:rPr>
        <w:t>, Produtividade e Remoções</w:t>
      </w:r>
    </w:p>
    <w:p w14:paraId="4615B867" w14:textId="77777777" w:rsidR="008629A3" w:rsidRPr="00324524" w:rsidRDefault="008629A3" w:rsidP="00324524">
      <w:pPr>
        <w:spacing w:line="240" w:lineRule="auto"/>
        <w:jc w:val="both"/>
        <w:rPr>
          <w:rFonts w:ascii="Calibri" w:hAnsi="Calibri" w:cs="Calibri"/>
          <w:b/>
          <w:sz w:val="24"/>
          <w:szCs w:val="24"/>
          <w:highlight w:val="white"/>
        </w:rPr>
      </w:pPr>
    </w:p>
    <w:p w14:paraId="4A500FF3" w14:textId="1A131BC6"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Os impactos padrões das mudanças do uso da terra são calculados para cada região seguindo a metodologia descrita na </w:t>
      </w:r>
      <w:hyperlink r:id="rId15" w:history="1">
        <w:r w:rsidRPr="00A60100">
          <w:rPr>
            <w:rStyle w:val="Hyperlink"/>
            <w:rFonts w:ascii="Calibri" w:hAnsi="Calibri" w:cs="Calibri"/>
            <w:sz w:val="24"/>
            <w:szCs w:val="24"/>
            <w:highlight w:val="white"/>
          </w:rPr>
          <w:t xml:space="preserve">Orientação </w:t>
        </w:r>
        <w:proofErr w:type="spellStart"/>
        <w:r w:rsidRPr="00A60100">
          <w:rPr>
            <w:rStyle w:val="Hyperlink"/>
            <w:rFonts w:ascii="Calibri" w:hAnsi="Calibri" w:cs="Calibri"/>
            <w:sz w:val="24"/>
            <w:szCs w:val="24"/>
            <w:highlight w:val="white"/>
          </w:rPr>
          <w:t>SBTi</w:t>
        </w:r>
        <w:proofErr w:type="spellEnd"/>
        <w:r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xml:space="preserve"> e no </w:t>
      </w:r>
      <w:hyperlink r:id="rId16" w:history="1">
        <w:r w:rsidRPr="00A60100">
          <w:rPr>
            <w:rStyle w:val="Hyperlink"/>
            <w:rFonts w:ascii="Calibri" w:hAnsi="Calibri" w:cs="Calibri"/>
            <w:sz w:val="24"/>
            <w:szCs w:val="24"/>
            <w:highlight w:val="white"/>
          </w:rPr>
          <w:t xml:space="preserve">Adendo de Métodos </w:t>
        </w:r>
        <w:proofErr w:type="spellStart"/>
        <w:r w:rsidRPr="00A60100">
          <w:rPr>
            <w:rStyle w:val="Hyperlink"/>
            <w:rFonts w:ascii="Calibri" w:hAnsi="Calibri" w:cs="Calibri"/>
            <w:sz w:val="24"/>
            <w:szCs w:val="24"/>
            <w:highlight w:val="white"/>
          </w:rPr>
          <w:t>SBTi</w:t>
        </w:r>
        <w:proofErr w:type="spellEnd"/>
        <w:r w:rsidR="002A39CA"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xml:space="preserve">. A mudança estatística do uso da terra é calculada usando o método de expansão histórica para os valores padrão na ferramenta do caminho. O impacto da LUC é calculado para uma unidade média de terra em cada geografia e atribuído a uma unidade de peso de cana-de-açúcar </w:t>
      </w:r>
      <w:r w:rsidR="002A39CA" w:rsidRPr="00324524">
        <w:rPr>
          <w:rFonts w:ascii="Calibri" w:hAnsi="Calibri" w:cs="Calibri"/>
          <w:sz w:val="24"/>
          <w:szCs w:val="24"/>
          <w:highlight w:val="white"/>
        </w:rPr>
        <w:t>bruto</w:t>
      </w:r>
      <w:r w:rsidRPr="00324524">
        <w:rPr>
          <w:rFonts w:ascii="Calibri" w:hAnsi="Calibri" w:cs="Calibri"/>
          <w:sz w:val="24"/>
          <w:szCs w:val="24"/>
          <w:highlight w:val="white"/>
        </w:rPr>
        <w:t xml:space="preserve"> com base na produtividade relativa de cada região. Os valores da produtividade são determinados pela FAO e agregados para cada região IMAGE quando necessário. As emissões de mudanças no uso da terra também podem ser inseridas usando dados primários ou valores derivados da </w:t>
      </w:r>
      <w:r w:rsidR="00A60100">
        <w:rPr>
          <w:rFonts w:ascii="Calibri" w:hAnsi="Calibri" w:cs="Calibri"/>
          <w:sz w:val="24"/>
          <w:szCs w:val="24"/>
          <w:highlight w:val="white"/>
        </w:rPr>
        <w:t>C</w:t>
      </w:r>
      <w:r w:rsidRPr="00324524">
        <w:rPr>
          <w:rFonts w:ascii="Calibri" w:hAnsi="Calibri" w:cs="Calibri"/>
          <w:sz w:val="24"/>
          <w:szCs w:val="24"/>
          <w:highlight w:val="white"/>
        </w:rPr>
        <w:t xml:space="preserve">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w:t>
      </w:r>
    </w:p>
    <w:p w14:paraId="7C80B085" w14:textId="77777777" w:rsidR="008629A3" w:rsidRPr="00324524" w:rsidRDefault="008629A3" w:rsidP="00324524">
      <w:pPr>
        <w:spacing w:line="240" w:lineRule="auto"/>
        <w:jc w:val="both"/>
        <w:rPr>
          <w:rFonts w:ascii="Calibri" w:hAnsi="Calibri" w:cs="Calibri"/>
          <w:sz w:val="24"/>
          <w:szCs w:val="24"/>
          <w:highlight w:val="white"/>
        </w:rPr>
      </w:pPr>
    </w:p>
    <w:p w14:paraId="7000D6F3" w14:textId="63ACD0EF"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O caminho da LUC é calculado seguindo a </w:t>
      </w:r>
      <w:hyperlink r:id="rId17" w:history="1">
        <w:r w:rsidRPr="00A60100">
          <w:rPr>
            <w:rStyle w:val="Hyperlink"/>
            <w:rFonts w:ascii="Calibri" w:hAnsi="Calibri" w:cs="Calibri"/>
            <w:sz w:val="24"/>
            <w:szCs w:val="24"/>
            <w:highlight w:val="white"/>
          </w:rPr>
          <w:t xml:space="preserve">Orientação </w:t>
        </w:r>
        <w:proofErr w:type="spellStart"/>
        <w:r w:rsidRPr="00A60100">
          <w:rPr>
            <w:rStyle w:val="Hyperlink"/>
            <w:rFonts w:ascii="Calibri" w:hAnsi="Calibri" w:cs="Calibri"/>
            <w:sz w:val="24"/>
            <w:szCs w:val="24"/>
            <w:highlight w:val="white"/>
          </w:rPr>
          <w:t>SBTi</w:t>
        </w:r>
        <w:proofErr w:type="spellEnd"/>
        <w:r w:rsidR="00573809"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xml:space="preserve">, com emissões </w:t>
      </w:r>
      <w:r w:rsidR="00573809" w:rsidRPr="00324524">
        <w:rPr>
          <w:rFonts w:ascii="Calibri" w:hAnsi="Calibri" w:cs="Calibri"/>
          <w:sz w:val="24"/>
          <w:szCs w:val="24"/>
          <w:highlight w:val="white"/>
        </w:rPr>
        <w:t>baseadas n</w:t>
      </w:r>
      <w:r w:rsidRPr="00324524">
        <w:rPr>
          <w:rFonts w:ascii="Calibri" w:hAnsi="Calibri" w:cs="Calibri"/>
          <w:sz w:val="24"/>
          <w:szCs w:val="24"/>
          <w:highlight w:val="white"/>
        </w:rPr>
        <w:t>o caminho de desmatamento. O caminho do desmatamento começa no ano-base de 2015 e atinge uma redução linear de 25% em 2020 e, em seguida, uma redução adicional de 100% no desmatamento até 2030. O cálculo das emissões inclui uma alocação equivalente ao longo de 20 anos para o impacto das emissões de desmatamento até 2050. </w:t>
      </w:r>
    </w:p>
    <w:p w14:paraId="6B431333" w14:textId="77777777" w:rsidR="008629A3" w:rsidRPr="00324524" w:rsidRDefault="008629A3" w:rsidP="00324524">
      <w:pPr>
        <w:spacing w:line="240" w:lineRule="auto"/>
        <w:jc w:val="both"/>
        <w:rPr>
          <w:rFonts w:ascii="Calibri" w:hAnsi="Calibri" w:cs="Calibri"/>
          <w:sz w:val="24"/>
          <w:szCs w:val="24"/>
          <w:highlight w:val="white"/>
        </w:rPr>
      </w:pPr>
    </w:p>
    <w:p w14:paraId="07446D2A" w14:textId="3282FE0B"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As intensidades de remoção para cada região são calculadas de forma semelhante, seguindo os métodos descritos na </w:t>
      </w:r>
      <w:hyperlink r:id="rId18" w:history="1">
        <w:r w:rsidRPr="00A60100">
          <w:rPr>
            <w:rStyle w:val="Hyperlink"/>
            <w:rFonts w:ascii="Calibri" w:hAnsi="Calibri" w:cs="Calibri"/>
            <w:sz w:val="24"/>
            <w:szCs w:val="24"/>
            <w:highlight w:val="white"/>
          </w:rPr>
          <w:t>Orientação FLAG</w:t>
        </w:r>
      </w:hyperlink>
      <w:r w:rsidRPr="00324524">
        <w:rPr>
          <w:rFonts w:ascii="Calibri" w:hAnsi="Calibri" w:cs="Calibri"/>
          <w:sz w:val="24"/>
          <w:szCs w:val="24"/>
          <w:highlight w:val="white"/>
        </w:rPr>
        <w:t xml:space="preserve">, e atribuídas a unidades de produção com base em valores de produtividade geograficamente específicos. Os valores-alvo de remoções são derivados de </w:t>
      </w:r>
      <w:proofErr w:type="spellStart"/>
      <w:r w:rsidRPr="00324524">
        <w:rPr>
          <w:rFonts w:ascii="Calibri" w:hAnsi="Calibri" w:cs="Calibri"/>
          <w:sz w:val="24"/>
          <w:szCs w:val="24"/>
          <w:highlight w:val="white"/>
        </w:rPr>
        <w:t>Roe</w:t>
      </w:r>
      <w:proofErr w:type="spellEnd"/>
      <w:r w:rsidRPr="00324524">
        <w:rPr>
          <w:rFonts w:ascii="Calibri" w:hAnsi="Calibri" w:cs="Calibri"/>
          <w:sz w:val="24"/>
          <w:szCs w:val="24"/>
          <w:highlight w:val="white"/>
        </w:rPr>
        <w:t xml:space="preserve"> et al. 2019, e seguem um padrão linear anual de 2020 a 2050, englobando o total de 32 </w:t>
      </w:r>
      <w:proofErr w:type="spellStart"/>
      <w:r w:rsidRPr="00324524">
        <w:rPr>
          <w:rFonts w:ascii="Calibri" w:hAnsi="Calibri" w:cs="Calibri"/>
          <w:sz w:val="24"/>
          <w:szCs w:val="24"/>
          <w:highlight w:val="white"/>
        </w:rPr>
        <w:t>Gt</w:t>
      </w:r>
      <w:proofErr w:type="spellEnd"/>
      <w:r w:rsidRPr="00324524">
        <w:rPr>
          <w:rFonts w:ascii="Calibri" w:hAnsi="Calibri" w:cs="Calibri"/>
          <w:sz w:val="24"/>
          <w:szCs w:val="24"/>
          <w:highlight w:val="white"/>
        </w:rPr>
        <w:t xml:space="preserve"> de remoções de CO2 equivalente em toda a produção agrícola global. </w:t>
      </w:r>
    </w:p>
    <w:p w14:paraId="671C8B71" w14:textId="77777777" w:rsidR="008629A3" w:rsidRPr="00324524" w:rsidRDefault="008629A3" w:rsidP="00324524">
      <w:pPr>
        <w:spacing w:line="240" w:lineRule="auto"/>
        <w:jc w:val="both"/>
        <w:rPr>
          <w:rFonts w:ascii="Calibri" w:hAnsi="Calibri" w:cs="Calibri"/>
          <w:sz w:val="24"/>
          <w:szCs w:val="24"/>
          <w:highlight w:val="white"/>
        </w:rPr>
      </w:pPr>
    </w:p>
    <w:p w14:paraId="223F9DA6" w14:textId="51BD22E3"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Como esses métodos seguem à risca a metodologia original descrita na </w:t>
      </w:r>
      <w:hyperlink r:id="rId19" w:history="1">
        <w:r w:rsidRPr="00A60100">
          <w:rPr>
            <w:rStyle w:val="Hyperlink"/>
            <w:rFonts w:ascii="Calibri" w:hAnsi="Calibri" w:cs="Calibri"/>
            <w:sz w:val="24"/>
            <w:szCs w:val="24"/>
            <w:highlight w:val="white"/>
          </w:rPr>
          <w:t xml:space="preserve">Orientação </w:t>
        </w:r>
        <w:proofErr w:type="spellStart"/>
        <w:r w:rsidRPr="00A60100">
          <w:rPr>
            <w:rStyle w:val="Hyperlink"/>
            <w:rFonts w:ascii="Calibri" w:hAnsi="Calibri" w:cs="Calibri"/>
            <w:sz w:val="24"/>
            <w:szCs w:val="24"/>
            <w:highlight w:val="white"/>
          </w:rPr>
          <w:t>SBTi</w:t>
        </w:r>
        <w:proofErr w:type="spellEnd"/>
        <w:r w:rsidR="00AC395F"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xml:space="preserve">, eles foram formulados para serem compatíveis com os resultados gerados pela </w:t>
      </w:r>
      <w:hyperlink r:id="rId20" w:history="1">
        <w:r w:rsidRPr="00A60100">
          <w:rPr>
            <w:rStyle w:val="Hyperlink"/>
            <w:rFonts w:ascii="Calibri" w:hAnsi="Calibri" w:cs="Calibri"/>
            <w:sz w:val="24"/>
            <w:szCs w:val="24"/>
            <w:highlight w:val="white"/>
          </w:rPr>
          <w:t xml:space="preserve">ferramenta </w:t>
        </w:r>
        <w:proofErr w:type="spellStart"/>
        <w:r w:rsidRPr="00A60100">
          <w:rPr>
            <w:rStyle w:val="Hyperlink"/>
            <w:rFonts w:ascii="Calibri" w:hAnsi="Calibri" w:cs="Calibri"/>
            <w:sz w:val="24"/>
            <w:szCs w:val="24"/>
            <w:highlight w:val="white"/>
          </w:rPr>
          <w:t>SBTi</w:t>
        </w:r>
        <w:proofErr w:type="spellEnd"/>
        <w:r w:rsidR="00AC395F"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xml:space="preserve">. Para obter mais informações sobre as principais premissas e limitações, consulte o </w:t>
      </w:r>
      <w:hyperlink r:id="rId21" w:history="1">
        <w:r w:rsidRPr="00A60100">
          <w:rPr>
            <w:rStyle w:val="Hyperlink"/>
            <w:rFonts w:ascii="Calibri" w:hAnsi="Calibri" w:cs="Calibri"/>
            <w:sz w:val="24"/>
            <w:szCs w:val="24"/>
            <w:highlight w:val="white"/>
          </w:rPr>
          <w:t>Adendo de Métodos</w:t>
        </w:r>
        <w:r w:rsidR="00AC395F" w:rsidRPr="00A60100">
          <w:rPr>
            <w:rStyle w:val="Hyperlink"/>
            <w:rFonts w:ascii="Calibri" w:hAnsi="Calibri" w:cs="Calibri"/>
            <w:sz w:val="24"/>
            <w:szCs w:val="24"/>
            <w:highlight w:val="white"/>
          </w:rPr>
          <w:t xml:space="preserve"> </w:t>
        </w:r>
        <w:proofErr w:type="spellStart"/>
        <w:r w:rsidRPr="00A60100">
          <w:rPr>
            <w:rStyle w:val="Hyperlink"/>
            <w:rFonts w:ascii="Calibri" w:hAnsi="Calibri" w:cs="Calibri"/>
            <w:sz w:val="24"/>
            <w:szCs w:val="24"/>
            <w:highlight w:val="white"/>
          </w:rPr>
          <w:t>SBTi</w:t>
        </w:r>
        <w:proofErr w:type="spellEnd"/>
        <w:r w:rsidR="00AC395F" w:rsidRPr="00A60100">
          <w:rPr>
            <w:rStyle w:val="Hyperlink"/>
            <w:rFonts w:ascii="Calibri" w:hAnsi="Calibri" w:cs="Calibri"/>
            <w:sz w:val="24"/>
            <w:szCs w:val="24"/>
            <w:highlight w:val="white"/>
          </w:rPr>
          <w:t xml:space="preserve"> FLAG</w:t>
        </w:r>
      </w:hyperlink>
      <w:r w:rsidRPr="00324524">
        <w:rPr>
          <w:rFonts w:ascii="Calibri" w:hAnsi="Calibri" w:cs="Calibri"/>
          <w:sz w:val="24"/>
          <w:szCs w:val="24"/>
          <w:highlight w:val="white"/>
        </w:rPr>
        <w:t>. </w:t>
      </w:r>
    </w:p>
    <w:p w14:paraId="7D8FA16C" w14:textId="1AF723D8" w:rsidR="008629A3" w:rsidRPr="00A60100" w:rsidRDefault="008629A3" w:rsidP="00324524">
      <w:pPr>
        <w:pStyle w:val="Heading1"/>
        <w:spacing w:before="400" w:after="120"/>
        <w:jc w:val="both"/>
        <w:rPr>
          <w:rFonts w:ascii="Calibri" w:hAnsi="Calibri" w:cs="Calibri"/>
          <w:color w:val="6A5E5A"/>
          <w:sz w:val="28"/>
          <w:szCs w:val="28"/>
        </w:rPr>
      </w:pPr>
      <w:r w:rsidRPr="00A60100">
        <w:rPr>
          <w:rFonts w:ascii="Calibri" w:hAnsi="Calibri" w:cs="Calibri"/>
          <w:color w:val="6A5E5A"/>
          <w:sz w:val="28"/>
          <w:szCs w:val="28"/>
        </w:rPr>
        <w:t>4. Instruções para usar a ferramenta de definição de metas do caminho</w:t>
      </w:r>
    </w:p>
    <w:p w14:paraId="04D52290" w14:textId="77777777" w:rsidR="008629A3" w:rsidRPr="00324524" w:rsidRDefault="008629A3" w:rsidP="00324524">
      <w:pPr>
        <w:spacing w:line="240" w:lineRule="auto"/>
        <w:jc w:val="both"/>
        <w:rPr>
          <w:rFonts w:ascii="Calibri" w:hAnsi="Calibri" w:cs="Calibri"/>
          <w:sz w:val="24"/>
          <w:szCs w:val="24"/>
          <w:highlight w:val="white"/>
        </w:rPr>
      </w:pPr>
    </w:p>
    <w:p w14:paraId="0A30AE50" w14:textId="14073D83"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O usuário típico da ferramenta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xml:space="preserve"> para o caminho de emissões da cana-de-açúcar irá </w:t>
      </w:r>
      <w:r w:rsidRPr="00324524">
        <w:rPr>
          <w:rFonts w:ascii="Calibri" w:hAnsi="Calibri" w:cs="Calibri"/>
          <w:sz w:val="24"/>
          <w:szCs w:val="24"/>
          <w:highlight w:val="white"/>
        </w:rPr>
        <w:lastRenderedPageBreak/>
        <w:t>interagir principalmente com as duas primeiras abas da planilha Excel, intituladas “Introdução” e “Cálculos”. A aba “Introdução” é uma aba resumo com informações sobre os desenvolvedores da ferramenta, número da versão e fornece um breve relato das outras abas da planilha. A aba “Cálculos” é onde o usuário irá inserir as informações exigidas pela ferramenta para calcular um caminho de emissões. A aba “Cálculos” é organizada em duas seções, intituladas “Entradas” e “Resultados”, e as instruções para inserir dados e interpretar os resultados estão resumidas abaixo. </w:t>
      </w:r>
    </w:p>
    <w:p w14:paraId="089BF321" w14:textId="77777777" w:rsidR="008629A3" w:rsidRPr="00324524" w:rsidRDefault="008629A3" w:rsidP="00324524">
      <w:pPr>
        <w:jc w:val="both"/>
        <w:rPr>
          <w:rFonts w:ascii="Calibri" w:hAnsi="Calibri" w:cs="Calibri"/>
          <w:sz w:val="24"/>
          <w:szCs w:val="24"/>
        </w:rPr>
      </w:pPr>
    </w:p>
    <w:p w14:paraId="61CAF813" w14:textId="77777777" w:rsidR="008629A3" w:rsidRPr="00324524" w:rsidRDefault="008629A3" w:rsidP="00324524">
      <w:pPr>
        <w:pBdr>
          <w:top w:val="nil"/>
          <w:left w:val="nil"/>
          <w:bottom w:val="nil"/>
          <w:right w:val="nil"/>
          <w:between w:val="nil"/>
        </w:pBd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Dados de Entrada Necessários</w:t>
      </w:r>
    </w:p>
    <w:p w14:paraId="429BEEDB" w14:textId="77777777" w:rsidR="008629A3" w:rsidRPr="00324524" w:rsidRDefault="008629A3" w:rsidP="00324524">
      <w:pPr>
        <w:pBdr>
          <w:top w:val="nil"/>
          <w:left w:val="nil"/>
          <w:bottom w:val="nil"/>
          <w:right w:val="nil"/>
          <w:between w:val="nil"/>
        </w:pBdr>
        <w:spacing w:line="240" w:lineRule="auto"/>
        <w:jc w:val="both"/>
        <w:rPr>
          <w:rFonts w:ascii="Calibri" w:hAnsi="Calibri" w:cs="Calibri"/>
          <w:b/>
          <w:color w:val="000000"/>
          <w:sz w:val="24"/>
          <w:szCs w:val="24"/>
          <w:highlight w:val="white"/>
        </w:rPr>
      </w:pPr>
    </w:p>
    <w:p w14:paraId="73272E5B"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sz w:val="24"/>
          <w:szCs w:val="24"/>
          <w:highlight w:val="white"/>
        </w:rPr>
        <w:t>A ferramenta de caminhos requer dados relativos aos três caminhos principais (Manejo da Terra, LUC e Remoções), bem como alguns dados demográficos sobre geografia, volumes de produção e anos de avaliação. A ferramenta também apresenta a opção para os usuários gerarem vários caminhos em linhas separadas com informações sobre várias regiões. As etapas a seguir para entrada de dados estão listadas com base nos cabeçalhos das colunas na aba de cálculo:</w:t>
      </w:r>
    </w:p>
    <w:p w14:paraId="412A615A"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rPr>
      </w:pPr>
    </w:p>
    <w:p w14:paraId="11E5A31F" w14:textId="4B1B6635" w:rsidR="008629A3" w:rsidRPr="00324524" w:rsidRDefault="00843016" w:rsidP="00324524">
      <w:pPr>
        <w:jc w:val="both"/>
        <w:rPr>
          <w:rFonts w:ascii="Calibri" w:hAnsi="Calibri" w:cs="Calibri"/>
          <w:sz w:val="24"/>
          <w:szCs w:val="24"/>
        </w:rPr>
      </w:pPr>
      <w:r w:rsidRPr="00843016">
        <w:rPr>
          <w:rFonts w:ascii="Calibri" w:hAnsi="Calibri" w:cs="Calibri"/>
          <w:noProof/>
          <w:sz w:val="24"/>
          <w:szCs w:val="24"/>
        </w:rPr>
        <w:drawing>
          <wp:inline distT="0" distB="0" distL="0" distR="0" wp14:anchorId="752CDB1D" wp14:editId="65875425">
            <wp:extent cx="5731510" cy="90805"/>
            <wp:effectExtent l="0" t="0" r="0" b="0"/>
            <wp:docPr id="5956113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11316" name=""/>
                    <pic:cNvPicPr/>
                  </pic:nvPicPr>
                  <pic:blipFill>
                    <a:blip r:embed="rId22"/>
                    <a:stretch>
                      <a:fillRect/>
                    </a:stretch>
                  </pic:blipFill>
                  <pic:spPr>
                    <a:xfrm>
                      <a:off x="0" y="0"/>
                      <a:ext cx="5731510" cy="90805"/>
                    </a:xfrm>
                    <a:prstGeom prst="rect">
                      <a:avLst/>
                    </a:prstGeom>
                  </pic:spPr>
                </pic:pic>
              </a:graphicData>
            </a:graphic>
          </wp:inline>
        </w:drawing>
      </w:r>
    </w:p>
    <w:p w14:paraId="727F8098" w14:textId="77777777" w:rsidR="00E00C8C" w:rsidRDefault="00E00C8C" w:rsidP="00324524">
      <w:pPr>
        <w:spacing w:line="240" w:lineRule="auto"/>
        <w:jc w:val="both"/>
        <w:rPr>
          <w:rFonts w:ascii="Calibri" w:hAnsi="Calibri" w:cs="Calibri"/>
          <w:b/>
          <w:sz w:val="24"/>
          <w:szCs w:val="24"/>
          <w:highlight w:val="white"/>
        </w:rPr>
      </w:pPr>
    </w:p>
    <w:p w14:paraId="31AFA58B" w14:textId="76CB5B6E" w:rsidR="008629A3" w:rsidRPr="00324524" w:rsidRDefault="008629A3" w:rsidP="00324524">
      <w:pPr>
        <w:spacing w:line="240" w:lineRule="auto"/>
        <w:jc w:val="both"/>
        <w:rPr>
          <w:rFonts w:ascii="Calibri" w:hAnsi="Calibri" w:cs="Calibri"/>
          <w:color w:val="000000"/>
          <w:sz w:val="24"/>
          <w:szCs w:val="24"/>
          <w:highlight w:val="white"/>
        </w:rPr>
      </w:pPr>
      <w:r w:rsidRPr="00324524">
        <w:rPr>
          <w:rFonts w:ascii="Calibri" w:hAnsi="Calibri" w:cs="Calibri"/>
          <w:b/>
          <w:sz w:val="24"/>
          <w:szCs w:val="24"/>
          <w:highlight w:val="white"/>
        </w:rPr>
        <w:t>Etapa 1- Commodity &amp; Região:</w:t>
      </w:r>
      <w:r w:rsidRPr="00324524">
        <w:rPr>
          <w:rFonts w:ascii="Calibri" w:hAnsi="Calibri" w:cs="Calibri"/>
          <w:color w:val="000000"/>
          <w:sz w:val="24"/>
          <w:szCs w:val="24"/>
          <w:highlight w:val="white"/>
        </w:rPr>
        <w:t xml:space="preserve"> </w:t>
      </w:r>
      <w:r w:rsidRPr="00324524">
        <w:rPr>
          <w:rFonts w:ascii="Calibri" w:hAnsi="Calibri" w:cs="Calibri"/>
          <w:sz w:val="24"/>
          <w:szCs w:val="24"/>
          <w:highlight w:val="white"/>
        </w:rPr>
        <w:t xml:space="preserve">A commodity listada aqui é a cana-de-açúcar e não precisará de ajuste. A região pode ser escolhida com base na região que melhor corresponde à geografia de origem da cana-de-açúcar. Mais informações sobre as 26 regiões + </w:t>
      </w:r>
      <w:proofErr w:type="gramStart"/>
      <w:r w:rsidRPr="00324524">
        <w:rPr>
          <w:rFonts w:ascii="Calibri" w:hAnsi="Calibri" w:cs="Calibri"/>
          <w:sz w:val="24"/>
          <w:szCs w:val="24"/>
          <w:highlight w:val="white"/>
        </w:rPr>
        <w:t>média mundial podem</w:t>
      </w:r>
      <w:proofErr w:type="gramEnd"/>
      <w:r w:rsidRPr="00324524">
        <w:rPr>
          <w:rFonts w:ascii="Calibri" w:hAnsi="Calibri" w:cs="Calibri"/>
          <w:sz w:val="24"/>
          <w:szCs w:val="24"/>
          <w:highlight w:val="white"/>
        </w:rPr>
        <w:t xml:space="preserve"> ser encontradas </w:t>
      </w:r>
      <w:r w:rsidRPr="00324524">
        <w:rPr>
          <w:rFonts w:ascii="Calibri" w:hAnsi="Calibri" w:cs="Calibri"/>
          <w:color w:val="4472C4" w:themeColor="accent1"/>
          <w:sz w:val="24"/>
          <w:szCs w:val="24"/>
          <w:highlight w:val="white"/>
          <w:u w:val="single"/>
        </w:rPr>
        <w:t>neste</w:t>
      </w:r>
      <w:r w:rsidRPr="00324524">
        <w:rPr>
          <w:rFonts w:ascii="Calibri" w:hAnsi="Calibri" w:cs="Calibri"/>
          <w:sz w:val="24"/>
          <w:szCs w:val="24"/>
        </w:rPr>
        <w:t xml:space="preserve"> </w:t>
      </w:r>
      <w:hyperlink r:id="rId23">
        <w:r w:rsidRPr="00324524">
          <w:rPr>
            <w:rFonts w:ascii="Calibri" w:hAnsi="Calibri" w:cs="Calibri"/>
            <w:color w:val="4472C4" w:themeColor="accent1"/>
            <w:sz w:val="24"/>
            <w:szCs w:val="24"/>
            <w:highlight w:val="white"/>
            <w:u w:val="single"/>
          </w:rPr>
          <w:t>link</w:t>
        </w:r>
      </w:hyperlink>
      <w:r w:rsidRPr="00324524">
        <w:rPr>
          <w:rFonts w:ascii="Calibri" w:hAnsi="Calibri" w:cs="Calibri"/>
          <w:color w:val="4472C4" w:themeColor="accent1"/>
          <w:sz w:val="24"/>
          <w:szCs w:val="24"/>
          <w:highlight w:val="white"/>
          <w:u w:val="single"/>
        </w:rPr>
        <w:t>.</w:t>
      </w:r>
    </w:p>
    <w:p w14:paraId="3A6E91B3"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highlight w:val="white"/>
        </w:rPr>
      </w:pPr>
    </w:p>
    <w:p w14:paraId="3ED84F74" w14:textId="791F1A6A"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b/>
          <w:sz w:val="24"/>
          <w:szCs w:val="24"/>
          <w:highlight w:val="white"/>
        </w:rPr>
        <w:t>Etapa 2 - Ano-Base (BY) e Ano-Alvo (TY):</w:t>
      </w:r>
      <w:r w:rsidRPr="00324524">
        <w:rPr>
          <w:rFonts w:ascii="Calibri" w:hAnsi="Calibri" w:cs="Calibri"/>
          <w:sz w:val="24"/>
          <w:szCs w:val="24"/>
          <w:highlight w:val="white"/>
        </w:rPr>
        <w:t xml:space="preserve"> Os anos-base e anos-alvo podem ser selecionados com base nos critérios descritos na seção intitulada Requisitos para estabelecer metas baseadas na ciência. Um ano-base deve ser selecionado para haver consistência com outras metas FLAG previamente definidas por uma empresa. O ano-alvo pode ser determinado pela decisão de definir uma meta de curto prazo (5 a 10 anos) ou de longo prazo (TY = 2050). </w:t>
      </w:r>
    </w:p>
    <w:p w14:paraId="0B6CDD4D" w14:textId="77777777" w:rsidR="008629A3" w:rsidRPr="00324524" w:rsidRDefault="008629A3" w:rsidP="00324524">
      <w:pPr>
        <w:spacing w:line="240" w:lineRule="auto"/>
        <w:jc w:val="both"/>
        <w:rPr>
          <w:rFonts w:ascii="Calibri" w:hAnsi="Calibri" w:cs="Calibri"/>
          <w:sz w:val="24"/>
          <w:szCs w:val="24"/>
          <w:highlight w:val="white"/>
        </w:rPr>
      </w:pPr>
    </w:p>
    <w:p w14:paraId="6A728360"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b/>
          <w:sz w:val="24"/>
          <w:szCs w:val="24"/>
          <w:highlight w:val="white"/>
        </w:rPr>
        <w:t>Passo 3 - Produção do ano-base BY &amp; Produção do ano-alvo TY:</w:t>
      </w:r>
      <w:r w:rsidRPr="00324524">
        <w:rPr>
          <w:rFonts w:ascii="Calibri" w:hAnsi="Calibri" w:cs="Calibri"/>
          <w:sz w:val="24"/>
          <w:szCs w:val="24"/>
          <w:highlight w:val="white"/>
        </w:rPr>
        <w:t xml:space="preserve"> Esses valores são a quantidade total de cana-de-açúcar em t de peso da cana fresca proveniente de uma determinada região no ano-base ou ano-alvo selecionado. Os dados da linha de base podem ser encontrados em uma medição da pegada corporativa ou podem ser derivados da aba de resumo de resultados da calculadora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Os dados do ano-alvo podem ser determinados por previsões de abastecimento de longo prazo ou metas de crescimento previstas pela empresa.</w:t>
      </w:r>
    </w:p>
    <w:p w14:paraId="2D4B7AD6" w14:textId="5428774C" w:rsidR="00201456" w:rsidRPr="00324524" w:rsidRDefault="00201456" w:rsidP="00324524">
      <w:pPr>
        <w:spacing w:line="240" w:lineRule="auto"/>
        <w:jc w:val="both"/>
        <w:rPr>
          <w:rFonts w:ascii="Calibri" w:hAnsi="Calibri" w:cs="Calibri"/>
          <w:sz w:val="24"/>
          <w:szCs w:val="24"/>
        </w:rPr>
      </w:pPr>
      <w:r w:rsidRPr="00324524">
        <w:rPr>
          <w:rFonts w:ascii="Calibri" w:hAnsi="Calibri" w:cs="Calibri"/>
          <w:sz w:val="24"/>
          <w:szCs w:val="24"/>
        </w:rPr>
        <w:t xml:space="preserve">Se os volumes de coprodutos derivados da cana-de-açúcar (por exemplo, cana-de-açúcar bruta ou refinada, melaço ou etanol) forem adquiridos no lugar da cana-de-açúcar, é importante converter esses volumes para estabelecer a correspondência com o volume de cana </w:t>
      </w:r>
      <w:r w:rsidR="000658A2" w:rsidRPr="00324524">
        <w:rPr>
          <w:rFonts w:ascii="Calibri" w:hAnsi="Calibri" w:cs="Calibri"/>
          <w:sz w:val="24"/>
          <w:szCs w:val="24"/>
        </w:rPr>
        <w:t>bruta</w:t>
      </w:r>
      <w:r w:rsidRPr="00324524">
        <w:rPr>
          <w:rFonts w:ascii="Calibri" w:hAnsi="Calibri" w:cs="Calibri"/>
          <w:sz w:val="24"/>
          <w:szCs w:val="24"/>
        </w:rPr>
        <w:t xml:space="preserve"> necessário para a ferramenta. Como os processos de moagem e refino para cada produto individual podem variar entre as regiões geográficas, os usuários da ferramenta podem recorrer aos fornecedores para obter os valores equivalentes de cana </w:t>
      </w:r>
      <w:r w:rsidR="000658A2" w:rsidRPr="00324524">
        <w:rPr>
          <w:rFonts w:ascii="Calibri" w:hAnsi="Calibri" w:cs="Calibri"/>
          <w:sz w:val="24"/>
          <w:szCs w:val="24"/>
        </w:rPr>
        <w:t>bruta</w:t>
      </w:r>
      <w:r w:rsidRPr="00324524">
        <w:rPr>
          <w:rFonts w:ascii="Calibri" w:hAnsi="Calibri" w:cs="Calibri"/>
          <w:sz w:val="24"/>
          <w:szCs w:val="24"/>
        </w:rPr>
        <w:t xml:space="preserve"> para </w:t>
      </w:r>
      <w:r w:rsidR="00571122" w:rsidRPr="00324524">
        <w:rPr>
          <w:rFonts w:ascii="Calibri" w:hAnsi="Calibri" w:cs="Calibri"/>
          <w:sz w:val="24"/>
          <w:szCs w:val="24"/>
        </w:rPr>
        <w:t xml:space="preserve">cada </w:t>
      </w:r>
      <w:r w:rsidRPr="00324524">
        <w:rPr>
          <w:rFonts w:ascii="Calibri" w:hAnsi="Calibri" w:cs="Calibri"/>
          <w:sz w:val="24"/>
          <w:szCs w:val="24"/>
        </w:rPr>
        <w:lastRenderedPageBreak/>
        <w:t xml:space="preserve">produto. Com esses valores em mãos, o usuário pode converter seus volumes usando a seguinte equação. </w:t>
      </w:r>
    </w:p>
    <w:p w14:paraId="43B41C2A" w14:textId="77777777" w:rsidR="00201456" w:rsidRPr="00324524" w:rsidRDefault="00201456" w:rsidP="00324524">
      <w:pPr>
        <w:spacing w:line="240" w:lineRule="auto"/>
        <w:jc w:val="both"/>
        <w:rPr>
          <w:rFonts w:ascii="Calibri" w:hAnsi="Calibri" w:cs="Calibri"/>
          <w:sz w:val="24"/>
          <w:szCs w:val="24"/>
        </w:rPr>
      </w:pPr>
    </w:p>
    <w:p w14:paraId="6FA9487A" w14:textId="5F4957DF" w:rsidR="00201456" w:rsidRPr="00324524" w:rsidRDefault="00E00C8C" w:rsidP="00324524">
      <w:pPr>
        <w:widowControl/>
        <w:suppressAutoHyphens w:val="0"/>
        <w:autoSpaceDE/>
        <w:autoSpaceDN/>
        <w:adjustRightInd/>
        <w:spacing w:line="240" w:lineRule="auto"/>
        <w:jc w:val="both"/>
        <w:textAlignment w:val="auto"/>
        <w:rPr>
          <w:rFonts w:ascii="Calibri" w:hAnsi="Calibri" w:cs="Calibri"/>
          <w:sz w:val="24"/>
          <w:szCs w:val="24"/>
        </w:rPr>
      </w:pPr>
      <m:oMathPara>
        <m:oMath>
          <m:r>
            <w:rPr>
              <w:rFonts w:ascii="Cambria Math" w:hAnsi="Cambria Math" w:cs="Calibri"/>
              <w:sz w:val="24"/>
              <w:szCs w:val="24"/>
            </w:rPr>
            <m:t>Volume de cana bruta</m:t>
          </m:r>
          <m:r>
            <m:rPr>
              <m:sty m:val="p"/>
            </m:rPr>
            <w:rPr>
              <w:rFonts w:ascii="Cambria Math" w:hAnsi="Cambria Math" w:cs="Calibri"/>
              <w:sz w:val="24"/>
              <w:szCs w:val="24"/>
            </w:rPr>
            <m:t xml:space="preserve"> </m:t>
          </m:r>
          <m:d>
            <m:dPr>
              <m:ctrlPr>
                <w:rPr>
                  <w:rFonts w:ascii="Cambria Math" w:hAnsi="Cambria Math" w:cs="Calibri"/>
                  <w:sz w:val="24"/>
                  <w:szCs w:val="24"/>
                </w:rPr>
              </m:ctrlPr>
            </m:dPr>
            <m:e>
              <m:r>
                <w:rPr>
                  <w:rFonts w:ascii="Cambria Math" w:hAnsi="Cambria Math" w:cs="Calibri"/>
                  <w:sz w:val="24"/>
                  <w:szCs w:val="24"/>
                </w:rPr>
                <m:t>kg</m:t>
              </m:r>
            </m:e>
          </m:d>
          <m:r>
            <m:rPr>
              <m:sty m:val="p"/>
            </m:rPr>
            <w:rPr>
              <w:rFonts w:ascii="Cambria Math" w:hAnsi="Cambria Math" w:cs="Calibri"/>
              <w:sz w:val="24"/>
              <w:szCs w:val="24"/>
            </w:rPr>
            <m:t>=</m:t>
          </m:r>
          <m:r>
            <w:rPr>
              <w:rFonts w:ascii="Cambria Math" w:hAnsi="Cambria Math" w:cs="Calibri"/>
              <w:sz w:val="24"/>
              <w:szCs w:val="24"/>
            </w:rPr>
            <m:t>Volume do derivado de cana comprado</m:t>
          </m:r>
          <m:r>
            <m:rPr>
              <m:sty m:val="p"/>
            </m:rPr>
            <w:rPr>
              <w:rFonts w:ascii="Cambria Math" w:hAnsi="Cambria Math" w:cs="Calibri"/>
              <w:sz w:val="24"/>
              <w:szCs w:val="24"/>
            </w:rPr>
            <m:t xml:space="preserve"> (</m:t>
          </m:r>
          <m:r>
            <w:rPr>
              <w:rFonts w:ascii="Cambria Math" w:hAnsi="Cambria Math" w:cs="Calibri"/>
              <w:sz w:val="24"/>
              <w:szCs w:val="24"/>
            </w:rPr>
            <m:t>kg</m:t>
          </m:r>
          <m:r>
            <m:rPr>
              <m:sty m:val="p"/>
            </m:rPr>
            <w:rPr>
              <w:rFonts w:ascii="Cambria Math" w:hAnsi="Cambria Math" w:cs="Calibri"/>
              <w:sz w:val="24"/>
              <w:szCs w:val="24"/>
            </w:rPr>
            <m:t xml:space="preserve"> </m:t>
          </m:r>
          <m:r>
            <w:rPr>
              <w:rFonts w:ascii="Cambria Math" w:hAnsi="Cambria Math" w:cs="Calibri"/>
              <w:sz w:val="24"/>
              <w:szCs w:val="24"/>
            </w:rPr>
            <m:t>or</m:t>
          </m:r>
          <m:r>
            <m:rPr>
              <m:sty m:val="p"/>
            </m:rPr>
            <w:rPr>
              <w:rFonts w:ascii="Cambria Math" w:hAnsi="Cambria Math" w:cs="Calibri"/>
              <w:sz w:val="24"/>
              <w:szCs w:val="24"/>
            </w:rPr>
            <m:t xml:space="preserve"> </m:t>
          </m:r>
          <m:r>
            <w:rPr>
              <w:rFonts w:ascii="Cambria Math" w:hAnsi="Cambria Math" w:cs="Calibri"/>
              <w:sz w:val="24"/>
              <w:szCs w:val="24"/>
            </w:rPr>
            <m:t>l</m:t>
          </m:r>
          <m:r>
            <m:rPr>
              <m:sty m:val="p"/>
            </m:rPr>
            <w:rPr>
              <w:rFonts w:ascii="Cambria Math" w:hAnsi="Cambria Math" w:cs="Calibri"/>
              <w:sz w:val="24"/>
              <w:szCs w:val="24"/>
            </w:rPr>
            <m:t xml:space="preserve">) * </m:t>
          </m:r>
          <m:f>
            <m:fPr>
              <m:ctrlPr>
                <w:rPr>
                  <w:rFonts w:ascii="Cambria Math" w:hAnsi="Cambria Math" w:cs="Calibri"/>
                  <w:sz w:val="24"/>
                  <w:szCs w:val="24"/>
                </w:rPr>
              </m:ctrlPr>
            </m:fPr>
            <m:num>
              <m:r>
                <w:rPr>
                  <w:rFonts w:ascii="Cambria Math" w:hAnsi="Cambria Math" w:cs="Calibri"/>
                  <w:sz w:val="24"/>
                  <w:szCs w:val="24"/>
                </w:rPr>
                <m:t>x</m:t>
              </m:r>
              <m:r>
                <m:rPr>
                  <m:sty m:val="p"/>
                </m:rPr>
                <w:rPr>
                  <w:rFonts w:ascii="Cambria Math" w:hAnsi="Cambria Math" w:cs="Calibri"/>
                  <w:sz w:val="24"/>
                  <w:szCs w:val="24"/>
                </w:rPr>
                <m:t xml:space="preserve"> </m:t>
              </m:r>
              <m:r>
                <w:rPr>
                  <w:rFonts w:ascii="Cambria Math" w:hAnsi="Cambria Math" w:cs="Calibri"/>
                  <w:sz w:val="24"/>
                  <w:szCs w:val="24"/>
                </w:rPr>
                <m:t>kg</m:t>
              </m:r>
              <m:r>
                <m:rPr>
                  <m:sty m:val="p"/>
                </m:rPr>
                <w:rPr>
                  <w:rFonts w:ascii="Cambria Math" w:hAnsi="Cambria Math" w:cs="Calibri"/>
                  <w:sz w:val="24"/>
                  <w:szCs w:val="24"/>
                </w:rPr>
                <m:t xml:space="preserve"> </m:t>
              </m:r>
              <m:r>
                <w:rPr>
                  <w:rFonts w:ascii="Cambria Math" w:hAnsi="Cambria Math" w:cs="Calibri"/>
                  <w:sz w:val="24"/>
                  <w:szCs w:val="24"/>
                </w:rPr>
                <m:t>cana de açúcar</m:t>
              </m:r>
            </m:num>
            <m:den>
              <m:r>
                <m:rPr>
                  <m:sty m:val="p"/>
                </m:rPr>
                <w:rPr>
                  <w:rFonts w:ascii="Cambria Math" w:hAnsi="Cambria Math" w:cs="Calibri"/>
                  <w:sz w:val="24"/>
                  <w:szCs w:val="24"/>
                </w:rPr>
                <m:t xml:space="preserve">1 </m:t>
              </m:r>
              <m:d>
                <m:dPr>
                  <m:ctrlPr>
                    <w:rPr>
                      <w:rFonts w:ascii="Cambria Math" w:hAnsi="Cambria Math" w:cs="Calibri"/>
                      <w:sz w:val="24"/>
                      <w:szCs w:val="24"/>
                    </w:rPr>
                  </m:ctrlPr>
                </m:dPr>
                <m:e>
                  <m:r>
                    <w:rPr>
                      <w:rFonts w:ascii="Cambria Math" w:hAnsi="Cambria Math" w:cs="Calibri"/>
                      <w:sz w:val="24"/>
                      <w:szCs w:val="24"/>
                    </w:rPr>
                    <m:t>kg</m:t>
                  </m:r>
                  <m:r>
                    <m:rPr>
                      <m:sty m:val="p"/>
                    </m:rPr>
                    <w:rPr>
                      <w:rFonts w:ascii="Cambria Math" w:hAnsi="Cambria Math" w:cs="Calibri"/>
                      <w:sz w:val="24"/>
                      <w:szCs w:val="24"/>
                    </w:rPr>
                    <m:t xml:space="preserve"> </m:t>
                  </m:r>
                  <m:r>
                    <w:rPr>
                      <w:rFonts w:ascii="Cambria Math" w:hAnsi="Cambria Math" w:cs="Calibri"/>
                      <w:sz w:val="24"/>
                      <w:szCs w:val="24"/>
                    </w:rPr>
                    <m:t>or</m:t>
                  </m:r>
                  <m:r>
                    <m:rPr>
                      <m:sty m:val="p"/>
                    </m:rPr>
                    <w:rPr>
                      <w:rFonts w:ascii="Cambria Math" w:hAnsi="Cambria Math" w:cs="Calibri"/>
                      <w:sz w:val="24"/>
                      <w:szCs w:val="24"/>
                    </w:rPr>
                    <m:t xml:space="preserve"> </m:t>
                  </m:r>
                  <m:r>
                    <w:rPr>
                      <w:rFonts w:ascii="Cambria Math" w:hAnsi="Cambria Math" w:cs="Calibri"/>
                      <w:sz w:val="24"/>
                      <w:szCs w:val="24"/>
                    </w:rPr>
                    <m:t>l</m:t>
                  </m:r>
                </m:e>
              </m:d>
              <m:r>
                <w:rPr>
                  <w:rFonts w:ascii="Cambria Math" w:hAnsi="Cambria Math" w:cs="Calibri"/>
                  <w:sz w:val="24"/>
                  <w:szCs w:val="24"/>
                </w:rPr>
                <m:t xml:space="preserve"> derivadode cana</m:t>
              </m:r>
            </m:den>
          </m:f>
        </m:oMath>
      </m:oMathPara>
    </w:p>
    <w:p w14:paraId="4C4E6CA0" w14:textId="77777777" w:rsidR="00201456" w:rsidRPr="00324524" w:rsidRDefault="00201456" w:rsidP="00324524">
      <w:pPr>
        <w:spacing w:line="240" w:lineRule="auto"/>
        <w:jc w:val="both"/>
        <w:rPr>
          <w:rFonts w:ascii="Calibri" w:hAnsi="Calibri" w:cs="Calibri"/>
          <w:sz w:val="24"/>
          <w:szCs w:val="24"/>
        </w:rPr>
      </w:pPr>
    </w:p>
    <w:p w14:paraId="69D50C73" w14:textId="77AA1D26" w:rsidR="00201456" w:rsidRPr="00324524" w:rsidRDefault="00201456" w:rsidP="00324524">
      <w:pPr>
        <w:spacing w:line="240" w:lineRule="auto"/>
        <w:jc w:val="both"/>
        <w:rPr>
          <w:rFonts w:ascii="Calibri" w:hAnsi="Calibri" w:cs="Calibri"/>
          <w:sz w:val="24"/>
          <w:szCs w:val="24"/>
        </w:rPr>
      </w:pPr>
      <w:r w:rsidRPr="00324524">
        <w:rPr>
          <w:rFonts w:ascii="Calibri" w:hAnsi="Calibri" w:cs="Calibri"/>
          <w:sz w:val="24"/>
          <w:szCs w:val="24"/>
        </w:rPr>
        <w:t>Segundo o USDA (Secretaria de Agricultura dos EUA), uma tonelada de cana-de-açúcar pode render 10-15% em peso de açúcar bruto e cerca de 80 litros de etanol (</w:t>
      </w:r>
      <w:proofErr w:type="spellStart"/>
      <w:r w:rsidRPr="00324524">
        <w:rPr>
          <w:rFonts w:ascii="Calibri" w:hAnsi="Calibri" w:cs="Calibri"/>
          <w:sz w:val="24"/>
          <w:szCs w:val="24"/>
        </w:rPr>
        <w:t>Shapouri</w:t>
      </w:r>
      <w:proofErr w:type="spellEnd"/>
      <w:r w:rsidRPr="00324524">
        <w:rPr>
          <w:rFonts w:ascii="Calibri" w:hAnsi="Calibri" w:cs="Calibri"/>
          <w:sz w:val="24"/>
          <w:szCs w:val="24"/>
        </w:rPr>
        <w:t xml:space="preserve"> &amp; </w:t>
      </w:r>
      <w:proofErr w:type="spellStart"/>
      <w:r w:rsidRPr="00324524">
        <w:rPr>
          <w:rFonts w:ascii="Calibri" w:hAnsi="Calibri" w:cs="Calibri"/>
          <w:sz w:val="24"/>
          <w:szCs w:val="24"/>
        </w:rPr>
        <w:t>Salassi</w:t>
      </w:r>
      <w:proofErr w:type="spellEnd"/>
      <w:r w:rsidRPr="00324524">
        <w:rPr>
          <w:rFonts w:ascii="Calibri" w:hAnsi="Calibri" w:cs="Calibri"/>
          <w:sz w:val="24"/>
          <w:szCs w:val="24"/>
        </w:rPr>
        <w:t>, 2006).</w:t>
      </w:r>
    </w:p>
    <w:p w14:paraId="4626E0C0" w14:textId="77777777" w:rsidR="008629A3" w:rsidRPr="00324524" w:rsidRDefault="008629A3" w:rsidP="00324524">
      <w:pPr>
        <w:spacing w:line="240" w:lineRule="auto"/>
        <w:jc w:val="both"/>
        <w:rPr>
          <w:rFonts w:ascii="Calibri" w:hAnsi="Calibri" w:cs="Calibri"/>
          <w:sz w:val="24"/>
          <w:szCs w:val="24"/>
          <w:highlight w:val="white"/>
        </w:rPr>
      </w:pPr>
    </w:p>
    <w:p w14:paraId="5C890EA6" w14:textId="43A7369D"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b/>
          <w:sz w:val="24"/>
          <w:szCs w:val="24"/>
          <w:highlight w:val="white"/>
        </w:rPr>
        <w:t>Etapa 4 - Emissões de Manejo de Terras, Emissões LUC &amp; Intensidade das Remoções:</w:t>
      </w:r>
      <w:r w:rsidRPr="00324524">
        <w:rPr>
          <w:rFonts w:ascii="Calibri" w:hAnsi="Calibri" w:cs="Calibri"/>
          <w:sz w:val="24"/>
          <w:szCs w:val="24"/>
          <w:highlight w:val="white"/>
        </w:rPr>
        <w:t xml:space="preserve"> Os dados e o escopo dessas três linhas são exibidos na Figura 1. Se as emissões totais forem conhecidas, elas podem ser inseridas diretamente nas células correspondentes à geografia correta. Se apenas as intensidades de emissões por tonelada de cana-de-açúcar forem conhecidas para uma determinada região, esses valores podem ser multiplicados pelo total do volume de abastecimento de cana para determinar as emissões totais para cada categoria. Os dados para emissões de manejo da terra e LUC por tonelada de cana são fornecidos nas células C211 e C217, respectivamente, na aba P3 </w:t>
      </w:r>
      <w:proofErr w:type="spellStart"/>
      <w:r w:rsidRPr="00324524">
        <w:rPr>
          <w:rFonts w:ascii="Calibri" w:hAnsi="Calibri" w:cs="Calibri"/>
          <w:sz w:val="24"/>
          <w:szCs w:val="24"/>
          <w:highlight w:val="white"/>
        </w:rPr>
        <w:t>Agric</w:t>
      </w:r>
      <w:proofErr w:type="spellEnd"/>
      <w:r w:rsidRPr="00324524">
        <w:rPr>
          <w:rFonts w:ascii="Calibri" w:hAnsi="Calibri" w:cs="Calibri"/>
          <w:sz w:val="24"/>
          <w:szCs w:val="24"/>
          <w:highlight w:val="white"/>
        </w:rPr>
        <w:t xml:space="preserve"> da Calculadora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xml:space="preserve"> (V5.1.4). Se não estiver usando dados de emissões da Calculadora </w:t>
      </w:r>
      <w:proofErr w:type="spellStart"/>
      <w:r w:rsidRPr="00324524">
        <w:rPr>
          <w:rFonts w:ascii="Calibri" w:hAnsi="Calibri" w:cs="Calibri"/>
          <w:sz w:val="24"/>
          <w:szCs w:val="24"/>
          <w:highlight w:val="white"/>
        </w:rPr>
        <w:t>Bonsucro</w:t>
      </w:r>
      <w:proofErr w:type="spellEnd"/>
      <w:r w:rsidRPr="00324524">
        <w:rPr>
          <w:rFonts w:ascii="Calibri" w:hAnsi="Calibri" w:cs="Calibri"/>
          <w:sz w:val="24"/>
          <w:szCs w:val="24"/>
          <w:highlight w:val="white"/>
        </w:rPr>
        <w:t>, é importante verificar se os dados de emissões usados incluem LUC (mudanças do uso da terra) conforme exigido pel</w:t>
      </w:r>
      <w:r w:rsidR="00735EA0" w:rsidRPr="00324524">
        <w:rPr>
          <w:rFonts w:ascii="Calibri" w:hAnsi="Calibri" w:cs="Calibri"/>
          <w:sz w:val="24"/>
          <w:szCs w:val="24"/>
          <w:highlight w:val="white"/>
        </w:rPr>
        <w:t>a</w:t>
      </w:r>
      <w:r w:rsidRPr="00324524">
        <w:rPr>
          <w:rFonts w:ascii="Calibri" w:hAnsi="Calibri" w:cs="Calibri"/>
          <w:sz w:val="24"/>
          <w:szCs w:val="24"/>
          <w:highlight w:val="white"/>
        </w:rPr>
        <w:t xml:space="preserve"> </w:t>
      </w:r>
      <w:proofErr w:type="spellStart"/>
      <w:r w:rsidRPr="00324524">
        <w:rPr>
          <w:rFonts w:ascii="Calibri" w:hAnsi="Calibri" w:cs="Calibri"/>
          <w:sz w:val="24"/>
          <w:szCs w:val="24"/>
          <w:highlight w:val="white"/>
        </w:rPr>
        <w:t>SBTi</w:t>
      </w:r>
      <w:proofErr w:type="spellEnd"/>
      <w:r w:rsidRPr="00324524">
        <w:rPr>
          <w:rFonts w:ascii="Calibri" w:hAnsi="Calibri" w:cs="Calibri"/>
          <w:sz w:val="24"/>
          <w:szCs w:val="24"/>
          <w:highlight w:val="white"/>
        </w:rPr>
        <w:t>. Além disso, uma etapa importante é desagregar quaisquer dados de emissões baseados nos valores de LUC e manejo de terras. No entanto, se alguma dessas informações for desconhecida, as células podem ser deixadas em branco e os valores padrão serão usados. </w:t>
      </w:r>
    </w:p>
    <w:p w14:paraId="1103DB89" w14:textId="77777777" w:rsidR="008629A3" w:rsidRPr="00324524" w:rsidRDefault="008629A3" w:rsidP="00324524">
      <w:pPr>
        <w:spacing w:line="240" w:lineRule="auto"/>
        <w:jc w:val="both"/>
        <w:rPr>
          <w:rFonts w:ascii="Calibri" w:hAnsi="Calibri" w:cs="Calibri"/>
          <w:sz w:val="24"/>
          <w:szCs w:val="24"/>
          <w:highlight w:val="white"/>
        </w:rPr>
      </w:pPr>
    </w:p>
    <w:p w14:paraId="5C09D974" w14:textId="77777777" w:rsidR="008629A3" w:rsidRPr="00324524" w:rsidRDefault="008629A3" w:rsidP="00324524">
      <w:pPr>
        <w:spacing w:line="240" w:lineRule="auto"/>
        <w:jc w:val="both"/>
        <w:rPr>
          <w:rFonts w:ascii="Calibri" w:hAnsi="Calibri" w:cs="Calibri"/>
          <w:sz w:val="24"/>
          <w:szCs w:val="24"/>
          <w:highlight w:val="white"/>
        </w:rPr>
      </w:pPr>
      <w:r w:rsidRPr="00324524">
        <w:rPr>
          <w:rFonts w:ascii="Calibri" w:hAnsi="Calibri" w:cs="Calibri"/>
          <w:b/>
          <w:sz w:val="24"/>
          <w:szCs w:val="24"/>
          <w:highlight w:val="white"/>
        </w:rPr>
        <w:t>Etapa 5 - Emissões totais:</w:t>
      </w:r>
      <w:r w:rsidRPr="00324524">
        <w:rPr>
          <w:rFonts w:ascii="Calibri" w:hAnsi="Calibri" w:cs="Calibri"/>
          <w:sz w:val="24"/>
          <w:szCs w:val="24"/>
          <w:highlight w:val="white"/>
        </w:rPr>
        <w:t xml:space="preserve"> Esta é a soma das emissões de linha de base, incluindo Emissões de Manejo de Terra, Emissões de LUC e Intensidade de Remoções.</w:t>
      </w:r>
    </w:p>
    <w:p w14:paraId="00E82A4F" w14:textId="77777777" w:rsidR="008629A3" w:rsidRPr="00324524" w:rsidRDefault="008629A3" w:rsidP="00324524">
      <w:pPr>
        <w:spacing w:line="240" w:lineRule="auto"/>
        <w:jc w:val="both"/>
        <w:rPr>
          <w:rFonts w:ascii="Calibri" w:hAnsi="Calibri" w:cs="Calibri"/>
          <w:sz w:val="24"/>
          <w:szCs w:val="24"/>
          <w:highlight w:val="white"/>
        </w:rPr>
      </w:pPr>
    </w:p>
    <w:p w14:paraId="65ABD324" w14:textId="77777777" w:rsidR="008629A3" w:rsidRPr="00324524" w:rsidRDefault="008629A3" w:rsidP="00324524">
      <w:pPr>
        <w:pBdr>
          <w:top w:val="nil"/>
          <w:left w:val="nil"/>
          <w:bottom w:val="nil"/>
          <w:right w:val="nil"/>
          <w:between w:val="nil"/>
        </w:pBdr>
        <w:spacing w:line="240" w:lineRule="auto"/>
        <w:jc w:val="both"/>
        <w:rPr>
          <w:rFonts w:ascii="Calibri" w:hAnsi="Calibri" w:cs="Calibri"/>
          <w:b/>
          <w:sz w:val="24"/>
          <w:szCs w:val="24"/>
          <w:highlight w:val="white"/>
        </w:rPr>
      </w:pPr>
      <w:r w:rsidRPr="00324524">
        <w:rPr>
          <w:rFonts w:ascii="Calibri" w:hAnsi="Calibri" w:cs="Calibri"/>
          <w:b/>
          <w:sz w:val="24"/>
          <w:szCs w:val="24"/>
          <w:highlight w:val="white"/>
        </w:rPr>
        <w:t>Interpretando Resultados</w:t>
      </w:r>
    </w:p>
    <w:p w14:paraId="0BCFFFFF" w14:textId="77777777" w:rsidR="008629A3" w:rsidRPr="00324524" w:rsidRDefault="008629A3" w:rsidP="00324524">
      <w:pPr>
        <w:pBdr>
          <w:top w:val="nil"/>
          <w:left w:val="nil"/>
          <w:bottom w:val="nil"/>
          <w:right w:val="nil"/>
          <w:between w:val="nil"/>
        </w:pBdr>
        <w:spacing w:line="240" w:lineRule="auto"/>
        <w:jc w:val="both"/>
        <w:rPr>
          <w:rFonts w:ascii="Calibri" w:hAnsi="Calibri" w:cs="Calibri"/>
          <w:b/>
          <w:color w:val="000000"/>
          <w:sz w:val="24"/>
          <w:szCs w:val="24"/>
          <w:highlight w:val="white"/>
        </w:rPr>
      </w:pPr>
    </w:p>
    <w:p w14:paraId="459C9880"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Com essas informações inseridas nas colunas corretas, a ferramenta gerará resultados para as intensidades de emissões no ano-alvo determinado para cada região em estudo. Os resultados do cálculo são dados na forma de Intensidades de Emissões divididas em Manejo de Terra, LUC (Mudança do Uso da Terra) e Remoções, bem como Emissões Líquidas com e sem a inclusão das Remoções. </w:t>
      </w:r>
    </w:p>
    <w:p w14:paraId="23934F8D" w14:textId="77777777" w:rsidR="008629A3"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2CCDDB51"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33205FDF"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438DD448"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629B1F22"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2E869B37"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1C6A857C" w14:textId="77777777" w:rsidR="00E00C8C" w:rsidRDefault="00E00C8C" w:rsidP="00324524">
      <w:pPr>
        <w:pBdr>
          <w:top w:val="nil"/>
          <w:left w:val="nil"/>
          <w:bottom w:val="nil"/>
          <w:right w:val="nil"/>
          <w:between w:val="nil"/>
        </w:pBdr>
        <w:spacing w:line="240" w:lineRule="auto"/>
        <w:jc w:val="both"/>
        <w:rPr>
          <w:rFonts w:ascii="Calibri" w:hAnsi="Calibri" w:cs="Calibri"/>
          <w:sz w:val="24"/>
          <w:szCs w:val="24"/>
          <w:highlight w:val="white"/>
        </w:rPr>
      </w:pPr>
    </w:p>
    <w:p w14:paraId="4DA1C612" w14:textId="51DD5433" w:rsidR="00E00C8C" w:rsidRPr="00324524" w:rsidRDefault="00E00C8C" w:rsidP="00E00C8C">
      <w:pPr>
        <w:pBdr>
          <w:top w:val="nil"/>
          <w:left w:val="nil"/>
          <w:bottom w:val="nil"/>
          <w:right w:val="nil"/>
          <w:between w:val="nil"/>
        </w:pBdr>
        <w:spacing w:line="240" w:lineRule="auto"/>
        <w:jc w:val="center"/>
        <w:rPr>
          <w:rFonts w:ascii="Calibri" w:hAnsi="Calibri" w:cs="Calibri"/>
          <w:sz w:val="24"/>
          <w:szCs w:val="24"/>
          <w:highlight w:val="white"/>
        </w:rPr>
      </w:pPr>
      <w:r>
        <w:rPr>
          <w:rFonts w:ascii="Calibri" w:hAnsi="Calibri" w:cs="Calibri"/>
          <w:sz w:val="24"/>
          <w:szCs w:val="24"/>
          <w:highlight w:val="white"/>
        </w:rPr>
        <w:lastRenderedPageBreak/>
        <w:t>Figura 1 – Dados de entrada e escopo</w:t>
      </w:r>
    </w:p>
    <w:p w14:paraId="655FA106" w14:textId="1D740EBD" w:rsidR="008629A3" w:rsidRPr="00324524" w:rsidRDefault="00843016" w:rsidP="00324524">
      <w:pPr>
        <w:pBdr>
          <w:top w:val="nil"/>
          <w:left w:val="nil"/>
          <w:bottom w:val="nil"/>
          <w:right w:val="nil"/>
          <w:between w:val="nil"/>
        </w:pBdr>
        <w:spacing w:line="240" w:lineRule="auto"/>
        <w:jc w:val="both"/>
        <w:rPr>
          <w:rFonts w:ascii="Calibri" w:hAnsi="Calibri" w:cs="Calibri"/>
          <w:sz w:val="24"/>
          <w:szCs w:val="24"/>
          <w:highlight w:val="white"/>
          <w14:shadow w14:blurRad="78689" w14:dist="50800" w14:dir="5400000" w14:sx="0" w14:sy="0" w14:kx="0" w14:ky="0" w14:algn="ctr">
            <w14:schemeClr w14:val="bg2">
              <w14:lumMod w14:val="90000"/>
            </w14:schemeClr>
          </w14:shadow>
        </w:rPr>
      </w:pPr>
      <w:r w:rsidRPr="00843016">
        <w:rPr>
          <w:rFonts w:ascii="Calibri" w:hAnsi="Calibri" w:cs="Calibri"/>
          <w:noProof/>
          <w:sz w:val="24"/>
          <w:szCs w:val="24"/>
          <w14:shadow w14:blurRad="78689" w14:dist="50800" w14:dir="5400000" w14:sx="0" w14:sy="0" w14:kx="0" w14:ky="0" w14:algn="ctr">
            <w14:schemeClr w14:val="bg2">
              <w14:lumMod w14:val="90000"/>
            </w14:schemeClr>
          </w14:shadow>
        </w:rPr>
        <w:drawing>
          <wp:inline distT="0" distB="0" distL="0" distR="0" wp14:anchorId="0866286E" wp14:editId="2DED54CA">
            <wp:extent cx="5731510" cy="521335"/>
            <wp:effectExtent l="0" t="0" r="0" b="0"/>
            <wp:docPr id="16860193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19336" name=""/>
                    <pic:cNvPicPr/>
                  </pic:nvPicPr>
                  <pic:blipFill>
                    <a:blip r:embed="rId24"/>
                    <a:stretch>
                      <a:fillRect/>
                    </a:stretch>
                  </pic:blipFill>
                  <pic:spPr>
                    <a:xfrm>
                      <a:off x="0" y="0"/>
                      <a:ext cx="5731510" cy="521335"/>
                    </a:xfrm>
                    <a:prstGeom prst="rect">
                      <a:avLst/>
                    </a:prstGeom>
                  </pic:spPr>
                </pic:pic>
              </a:graphicData>
            </a:graphic>
          </wp:inline>
        </w:drawing>
      </w:r>
    </w:p>
    <w:p w14:paraId="20B143FD" w14:textId="77777777"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p>
    <w:p w14:paraId="4B8A0E76" w14:textId="4587697E" w:rsidR="008629A3" w:rsidRPr="00324524" w:rsidRDefault="008629A3" w:rsidP="00324524">
      <w:pPr>
        <w:pBdr>
          <w:top w:val="nil"/>
          <w:left w:val="nil"/>
          <w:bottom w:val="nil"/>
          <w:right w:val="nil"/>
          <w:between w:val="nil"/>
        </w:pBdr>
        <w:spacing w:line="240" w:lineRule="auto"/>
        <w:jc w:val="both"/>
        <w:rPr>
          <w:rFonts w:ascii="Calibri" w:hAnsi="Calibri" w:cs="Calibri"/>
          <w:sz w:val="24"/>
          <w:szCs w:val="24"/>
          <w:highlight w:val="white"/>
        </w:rPr>
      </w:pPr>
      <w:r w:rsidRPr="00324524">
        <w:rPr>
          <w:rFonts w:ascii="Calibri" w:hAnsi="Calibri" w:cs="Calibri"/>
          <w:sz w:val="24"/>
          <w:szCs w:val="24"/>
          <w:highlight w:val="white"/>
        </w:rPr>
        <w:t xml:space="preserve">Esses resultados representam as intensidades de emissões do ano-alvo necessárias para definir uma meta FLAG.  </w:t>
      </w:r>
    </w:p>
    <w:p w14:paraId="0A599EA3" w14:textId="77777777" w:rsidR="008629A3" w:rsidRPr="00324524" w:rsidRDefault="008629A3" w:rsidP="00324524">
      <w:pPr>
        <w:spacing w:line="240" w:lineRule="auto"/>
        <w:jc w:val="both"/>
        <w:rPr>
          <w:rFonts w:ascii="Calibri" w:hAnsi="Calibri" w:cs="Calibri"/>
          <w:sz w:val="24"/>
          <w:szCs w:val="24"/>
        </w:rPr>
      </w:pPr>
    </w:p>
    <w:p w14:paraId="2B27778F" w14:textId="77777777" w:rsidR="008629A3" w:rsidRPr="00324524" w:rsidRDefault="008629A3" w:rsidP="00324524">
      <w:pPr>
        <w:pBdr>
          <w:top w:val="nil"/>
          <w:left w:val="nil"/>
          <w:bottom w:val="nil"/>
          <w:right w:val="nil"/>
          <w:between w:val="nil"/>
        </w:pBdr>
        <w:spacing w:line="240" w:lineRule="auto"/>
        <w:jc w:val="both"/>
        <w:rPr>
          <w:rFonts w:ascii="Calibri" w:hAnsi="Calibri" w:cs="Calibri"/>
          <w:color w:val="000000"/>
          <w:sz w:val="24"/>
          <w:szCs w:val="24"/>
        </w:rPr>
      </w:pPr>
    </w:p>
    <w:p w14:paraId="24226019" w14:textId="77777777" w:rsidR="008629A3" w:rsidRPr="00324524" w:rsidRDefault="008629A3" w:rsidP="00324524">
      <w:pPr>
        <w:jc w:val="both"/>
        <w:rPr>
          <w:rFonts w:ascii="Calibri" w:hAnsi="Calibri" w:cs="Calibri"/>
          <w:sz w:val="24"/>
          <w:szCs w:val="24"/>
        </w:rPr>
      </w:pPr>
    </w:p>
    <w:p w14:paraId="55CD6CEE" w14:textId="77777777" w:rsidR="008629A3" w:rsidRPr="00324524" w:rsidRDefault="008629A3" w:rsidP="00324524">
      <w:pPr>
        <w:jc w:val="both"/>
        <w:rPr>
          <w:rFonts w:ascii="Calibri" w:hAnsi="Calibri" w:cs="Calibri"/>
          <w:sz w:val="24"/>
          <w:szCs w:val="24"/>
        </w:rPr>
      </w:pPr>
    </w:p>
    <w:p w14:paraId="3CCB7DB4" w14:textId="77777777" w:rsidR="00B8109A" w:rsidRPr="00324524" w:rsidRDefault="00B8109A" w:rsidP="00324524">
      <w:pPr>
        <w:widowControl/>
        <w:suppressAutoHyphens w:val="0"/>
        <w:autoSpaceDE/>
        <w:autoSpaceDN/>
        <w:adjustRightInd/>
        <w:spacing w:after="120" w:line="240" w:lineRule="auto"/>
        <w:jc w:val="both"/>
        <w:textAlignment w:val="auto"/>
        <w:rPr>
          <w:rFonts w:ascii="Calibri" w:hAnsi="Calibri" w:cs="Calibri"/>
          <w:sz w:val="24"/>
          <w:szCs w:val="24"/>
        </w:rPr>
      </w:pPr>
    </w:p>
    <w:sectPr w:rsidR="00B8109A" w:rsidRPr="00324524" w:rsidSect="00720D1B">
      <w:headerReference w:type="default" r:id="rId25"/>
      <w:footerReference w:type="default" r:id="rId26"/>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7A0" w14:textId="77777777" w:rsidR="005E0C75" w:rsidRDefault="005E0C75" w:rsidP="001B7872">
      <w:pPr>
        <w:spacing w:line="240" w:lineRule="auto"/>
      </w:pPr>
      <w:r>
        <w:separator/>
      </w:r>
    </w:p>
  </w:endnote>
  <w:endnote w:type="continuationSeparator" w:id="0">
    <w:p w14:paraId="62B24080" w14:textId="77777777" w:rsidR="005E0C75" w:rsidRDefault="005E0C75" w:rsidP="001B7872">
      <w:pPr>
        <w:spacing w:line="240" w:lineRule="auto"/>
      </w:pPr>
      <w:r>
        <w:continuationSeparator/>
      </w:r>
    </w:p>
  </w:endnote>
  <w:endnote w:type="continuationNotice" w:id="1">
    <w:p w14:paraId="11D5989A" w14:textId="77777777" w:rsidR="005E0C75" w:rsidRDefault="005E0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B0604020202020204"/>
    <w:charset w:val="00"/>
    <w:family w:val="auto"/>
    <w:pitch w:val="variable"/>
    <w:sig w:usb0="E00002FF" w:usb1="5000205A" w:usb2="00000000" w:usb3="00000000" w:csb0="0000019F" w:csb1="00000000"/>
  </w:font>
  <w:font w:name="SofiaProBold">
    <w:panose1 w:val="020B0604020202020204"/>
    <w:charset w:val="4D"/>
    <w:family w:val="auto"/>
    <w:notTrueType/>
    <w:pitch w:val="default"/>
    <w:sig w:usb0="00000003" w:usb1="00000000" w:usb2="00000000" w:usb3="00000000" w:csb0="00000001" w:csb1="00000000"/>
  </w:font>
  <w:font w:name="Sofia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8FB" w14:textId="77777777" w:rsidR="00D509A4" w:rsidRPr="00D142F2" w:rsidRDefault="001B7872" w:rsidP="00D509A4">
    <w:pPr>
      <w:suppressAutoHyphens w:val="0"/>
      <w:spacing w:line="288" w:lineRule="auto"/>
      <w:rPr>
        <w:rFonts w:eastAsia="Times" w:cs="SofiaProBold"/>
        <w:b/>
        <w:bCs/>
        <w:color w:val="003B5C"/>
        <w:spacing w:val="-1"/>
        <w:position w:val="1"/>
        <w:sz w:val="15"/>
        <w:szCs w:val="15"/>
        <w:lang w:val="en-US"/>
      </w:rPr>
    </w:pPr>
    <w:proofErr w:type="spellStart"/>
    <w:r w:rsidRPr="00D142F2">
      <w:rPr>
        <w:b/>
        <w:bCs/>
        <w:color w:val="003B5C"/>
        <w:sz w:val="15"/>
        <w:szCs w:val="15"/>
        <w:lang w:val="en-US"/>
      </w:rPr>
      <w:t>Bonsucro</w:t>
    </w:r>
    <w:proofErr w:type="spellEnd"/>
    <w:r w:rsidRPr="00D142F2">
      <w:rPr>
        <w:b/>
        <w:bCs/>
        <w:color w:val="003B5C"/>
        <w:sz w:val="15"/>
        <w:szCs w:val="15"/>
        <w:lang w:val="en-US"/>
      </w:rPr>
      <w:t xml:space="preserve"> Ltd. </w:t>
    </w:r>
    <w:r w:rsidRPr="00D142F2">
      <w:rPr>
        <w:rFonts w:ascii="Times New Roman" w:hAnsi="Times New Roman"/>
        <w:color w:val="003B5C"/>
        <w:sz w:val="15"/>
        <w:szCs w:val="15"/>
        <w:lang w:val="en-US"/>
      </w:rPr>
      <w:t>Unit KP.CC3.01 Canterbury Court, </w:t>
    </w:r>
    <w:proofErr w:type="spellStart"/>
    <w:r w:rsidRPr="00D142F2">
      <w:rPr>
        <w:rFonts w:ascii="Times New Roman" w:hAnsi="Times New Roman"/>
        <w:color w:val="003B5C"/>
        <w:sz w:val="15"/>
        <w:szCs w:val="15"/>
        <w:lang w:val="en-US"/>
      </w:rPr>
      <w:t>Kennington</w:t>
    </w:r>
    <w:proofErr w:type="spellEnd"/>
    <w:r w:rsidRPr="00D142F2">
      <w:rPr>
        <w:rFonts w:ascii="Times New Roman" w:hAnsi="Times New Roman"/>
        <w:color w:val="003B5C"/>
        <w:sz w:val="15"/>
        <w:szCs w:val="15"/>
        <w:lang w:val="en-US"/>
      </w:rPr>
      <w:t xml:space="preserve"> Park, 1 – 3 Brixton Road, London, SW9 6DE</w:t>
    </w:r>
    <w:r w:rsidRPr="00D142F2">
      <w:rPr>
        <w:b/>
        <w:bCs/>
        <w:color w:val="003B5C"/>
        <w:sz w:val="15"/>
        <w:szCs w:val="15"/>
        <w:lang w:val="en-US"/>
      </w:rPr>
      <w:t xml:space="preserve"> </w:t>
    </w:r>
  </w:p>
  <w:p w14:paraId="4B11180C" w14:textId="71350A07" w:rsidR="001B7872" w:rsidRPr="00D509A4" w:rsidRDefault="001B7872" w:rsidP="00D509A4">
    <w:pPr>
      <w:suppressAutoHyphens w:val="0"/>
      <w:spacing w:line="288" w:lineRule="auto"/>
      <w:rPr>
        <w:rFonts w:eastAsia="Times" w:cs="SofiaProRegular"/>
        <w:color w:val="003B5C"/>
        <w:spacing w:val="-1"/>
        <w:position w:val="1"/>
        <w:sz w:val="15"/>
        <w:szCs w:val="15"/>
      </w:rPr>
    </w:pPr>
    <w:r>
      <w:rPr>
        <w:b/>
        <w:bCs/>
        <w:color w:val="003B5C"/>
        <w:sz w:val="15"/>
        <w:szCs w:val="15"/>
      </w:rPr>
      <w:t>t</w:t>
    </w:r>
    <w:r>
      <w:rPr>
        <w:color w:val="003B5C"/>
        <w:sz w:val="15"/>
        <w:szCs w:val="15"/>
      </w:rPr>
      <w:t xml:space="preserve"> +44 (0)20 3735 8515   </w:t>
    </w:r>
    <w:r>
      <w:rPr>
        <w:b/>
        <w:bCs/>
        <w:color w:val="003B5C"/>
        <w:sz w:val="15"/>
        <w:szCs w:val="15"/>
      </w:rPr>
      <w:t xml:space="preserve">e </w:t>
    </w:r>
    <w:r>
      <w:rPr>
        <w:color w:val="003B5C"/>
        <w:sz w:val="15"/>
        <w:szCs w:val="15"/>
      </w:rPr>
      <w:t xml:space="preserve">info@bonsucro.com   </w:t>
    </w:r>
    <w:r>
      <w:rPr>
        <w:b/>
        <w:bCs/>
        <w:color w:val="003B5C"/>
        <w:sz w:val="15"/>
        <w:szCs w:val="15"/>
      </w:rPr>
      <w:t xml:space="preserve">w </w:t>
    </w:r>
    <w:r>
      <w:rPr>
        <w:color w:val="003B5C"/>
        <w:sz w:val="15"/>
        <w:szCs w:val="15"/>
      </w:rPr>
      <w:t xml:space="preserve">bonsucro.com - </w:t>
    </w:r>
    <w:proofErr w:type="spellStart"/>
    <w:r>
      <w:rPr>
        <w:color w:val="003B5C"/>
        <w:sz w:val="15"/>
        <w:szCs w:val="15"/>
      </w:rPr>
      <w:t>Company</w:t>
    </w:r>
    <w:proofErr w:type="spellEnd"/>
    <w:r>
      <w:rPr>
        <w:color w:val="003B5C"/>
        <w:sz w:val="15"/>
        <w:szCs w:val="15"/>
      </w:rPr>
      <w:t xml:space="preserve"> </w:t>
    </w:r>
    <w:proofErr w:type="spellStart"/>
    <w:r>
      <w:rPr>
        <w:color w:val="003B5C"/>
        <w:sz w:val="15"/>
        <w:szCs w:val="15"/>
      </w:rPr>
      <w:t>Number</w:t>
    </w:r>
    <w:proofErr w:type="spellEnd"/>
    <w:r>
      <w:rPr>
        <w:color w:val="003B5C"/>
        <w:sz w:val="15"/>
        <w:szCs w:val="15"/>
      </w:rPr>
      <w:t>: 06798568</w:t>
    </w:r>
  </w:p>
  <w:p w14:paraId="043996C5" w14:textId="6F586F9E" w:rsidR="001B7872" w:rsidRDefault="001B7872">
    <w:pPr>
      <w:pStyle w:val="Footer"/>
    </w:pPr>
  </w:p>
  <w:p w14:paraId="72294C73" w14:textId="77777777" w:rsidR="001B7872" w:rsidRDefault="001B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9CEA" w14:textId="77777777" w:rsidR="005E0C75" w:rsidRDefault="005E0C75" w:rsidP="001B7872">
      <w:pPr>
        <w:spacing w:line="240" w:lineRule="auto"/>
      </w:pPr>
      <w:r>
        <w:separator/>
      </w:r>
    </w:p>
  </w:footnote>
  <w:footnote w:type="continuationSeparator" w:id="0">
    <w:p w14:paraId="0D5DCE30" w14:textId="77777777" w:rsidR="005E0C75" w:rsidRDefault="005E0C75" w:rsidP="001B7872">
      <w:pPr>
        <w:spacing w:line="240" w:lineRule="auto"/>
      </w:pPr>
      <w:r>
        <w:continuationSeparator/>
      </w:r>
    </w:p>
  </w:footnote>
  <w:footnote w:type="continuationNotice" w:id="1">
    <w:p w14:paraId="5668FB67" w14:textId="77777777" w:rsidR="005E0C75" w:rsidRDefault="005E0C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D6C" w14:textId="2E250F14" w:rsidR="001B7872" w:rsidRDefault="001B7872">
    <w:pPr>
      <w:pStyle w:val="Header"/>
    </w:pPr>
  </w:p>
  <w:p w14:paraId="2475F394" w14:textId="16426254" w:rsidR="001B7872" w:rsidRDefault="001B7872">
    <w:pPr>
      <w:pStyle w:val="Header"/>
    </w:pPr>
    <w:r>
      <w:rPr>
        <w:noProof/>
      </w:rPr>
      <w:drawing>
        <wp:anchor distT="0" distB="0" distL="114300" distR="114300" simplePos="0" relativeHeight="251661312" behindDoc="0" locked="0" layoutInCell="1" allowOverlap="1" wp14:anchorId="0BC2DB3A" wp14:editId="49DF3536">
          <wp:simplePos x="0" y="0"/>
          <wp:positionH relativeFrom="page">
            <wp:posOffset>5372100</wp:posOffset>
          </wp:positionH>
          <wp:positionV relativeFrom="page">
            <wp:posOffset>437515</wp:posOffset>
          </wp:positionV>
          <wp:extent cx="1439545" cy="1009015"/>
          <wp:effectExtent l="0" t="0" r="825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00901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57B"/>
    <w:multiLevelType w:val="multilevel"/>
    <w:tmpl w:val="87204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EB2AB0"/>
    <w:multiLevelType w:val="multilevel"/>
    <w:tmpl w:val="AA10B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BE1DCC"/>
    <w:multiLevelType w:val="multilevel"/>
    <w:tmpl w:val="B1045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E0327B"/>
    <w:multiLevelType w:val="multilevel"/>
    <w:tmpl w:val="0D862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6476A"/>
    <w:multiLevelType w:val="hybridMultilevel"/>
    <w:tmpl w:val="C966EC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755133D"/>
    <w:multiLevelType w:val="hybridMultilevel"/>
    <w:tmpl w:val="96DC2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3B2268"/>
    <w:multiLevelType w:val="multilevel"/>
    <w:tmpl w:val="7554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A7A23"/>
    <w:multiLevelType w:val="multilevel"/>
    <w:tmpl w:val="D52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CA7491"/>
    <w:multiLevelType w:val="hybridMultilevel"/>
    <w:tmpl w:val="6EE60D7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9" w15:restartNumberingAfterBreak="0">
    <w:nsid w:val="32202974"/>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70D70"/>
    <w:multiLevelType w:val="hybridMultilevel"/>
    <w:tmpl w:val="66065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0A14C1B"/>
    <w:multiLevelType w:val="hybridMultilevel"/>
    <w:tmpl w:val="E31C3734"/>
    <w:lvl w:ilvl="0" w:tplc="ED020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95ADC"/>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BD3DCD"/>
    <w:multiLevelType w:val="multilevel"/>
    <w:tmpl w:val="200C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371380">
    <w:abstractNumId w:val="11"/>
  </w:num>
  <w:num w:numId="2" w16cid:durableId="236912788">
    <w:abstractNumId w:val="12"/>
  </w:num>
  <w:num w:numId="3" w16cid:durableId="1405032981">
    <w:abstractNumId w:val="6"/>
  </w:num>
  <w:num w:numId="4" w16cid:durableId="1030179204">
    <w:abstractNumId w:val="3"/>
  </w:num>
  <w:num w:numId="5" w16cid:durableId="102116532">
    <w:abstractNumId w:val="9"/>
  </w:num>
  <w:num w:numId="6" w16cid:durableId="699550055">
    <w:abstractNumId w:val="7"/>
  </w:num>
  <w:num w:numId="7" w16cid:durableId="1917129199">
    <w:abstractNumId w:val="5"/>
  </w:num>
  <w:num w:numId="8" w16cid:durableId="2100985135">
    <w:abstractNumId w:val="10"/>
  </w:num>
  <w:num w:numId="9" w16cid:durableId="1413311891">
    <w:abstractNumId w:val="2"/>
  </w:num>
  <w:num w:numId="10" w16cid:durableId="1846750887">
    <w:abstractNumId w:val="13"/>
  </w:num>
  <w:num w:numId="11" w16cid:durableId="192308219">
    <w:abstractNumId w:val="1"/>
  </w:num>
  <w:num w:numId="12" w16cid:durableId="1346710175">
    <w:abstractNumId w:val="0"/>
  </w:num>
  <w:num w:numId="13" w16cid:durableId="1332560126">
    <w:abstractNumId w:val="4"/>
  </w:num>
  <w:num w:numId="14" w16cid:durableId="1362394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02641D"/>
    <w:rsid w:val="000328D5"/>
    <w:rsid w:val="00042E0E"/>
    <w:rsid w:val="000516AA"/>
    <w:rsid w:val="00061469"/>
    <w:rsid w:val="00061953"/>
    <w:rsid w:val="000658A2"/>
    <w:rsid w:val="00075B97"/>
    <w:rsid w:val="000775DD"/>
    <w:rsid w:val="00097235"/>
    <w:rsid w:val="000A758B"/>
    <w:rsid w:val="000B03CE"/>
    <w:rsid w:val="000C2AA5"/>
    <w:rsid w:val="000C7F14"/>
    <w:rsid w:val="000D090E"/>
    <w:rsid w:val="000D74C9"/>
    <w:rsid w:val="00101132"/>
    <w:rsid w:val="00115073"/>
    <w:rsid w:val="001176B8"/>
    <w:rsid w:val="00145439"/>
    <w:rsid w:val="001554DE"/>
    <w:rsid w:val="00156093"/>
    <w:rsid w:val="00161CBF"/>
    <w:rsid w:val="0016275E"/>
    <w:rsid w:val="001765DD"/>
    <w:rsid w:val="001A17A7"/>
    <w:rsid w:val="001B63D3"/>
    <w:rsid w:val="001B7872"/>
    <w:rsid w:val="001F5BAE"/>
    <w:rsid w:val="001F6E9C"/>
    <w:rsid w:val="00201456"/>
    <w:rsid w:val="00201B37"/>
    <w:rsid w:val="00202204"/>
    <w:rsid w:val="00205D5F"/>
    <w:rsid w:val="002329AF"/>
    <w:rsid w:val="002331A4"/>
    <w:rsid w:val="00234F5D"/>
    <w:rsid w:val="002365F1"/>
    <w:rsid w:val="00243205"/>
    <w:rsid w:val="00244276"/>
    <w:rsid w:val="002542E6"/>
    <w:rsid w:val="00255877"/>
    <w:rsid w:val="002564A2"/>
    <w:rsid w:val="00263246"/>
    <w:rsid w:val="002A1176"/>
    <w:rsid w:val="002A39CA"/>
    <w:rsid w:val="002D16DB"/>
    <w:rsid w:val="002F17F3"/>
    <w:rsid w:val="00303091"/>
    <w:rsid w:val="00324524"/>
    <w:rsid w:val="0032472A"/>
    <w:rsid w:val="00337BE9"/>
    <w:rsid w:val="003616E4"/>
    <w:rsid w:val="00361EBC"/>
    <w:rsid w:val="00371290"/>
    <w:rsid w:val="003745FB"/>
    <w:rsid w:val="0038793C"/>
    <w:rsid w:val="0039593E"/>
    <w:rsid w:val="003C2286"/>
    <w:rsid w:val="003C443F"/>
    <w:rsid w:val="003D2056"/>
    <w:rsid w:val="003D35ED"/>
    <w:rsid w:val="003E6A14"/>
    <w:rsid w:val="003F0688"/>
    <w:rsid w:val="003F111F"/>
    <w:rsid w:val="003F3D25"/>
    <w:rsid w:val="003F6749"/>
    <w:rsid w:val="004112CE"/>
    <w:rsid w:val="004120DC"/>
    <w:rsid w:val="00420AC3"/>
    <w:rsid w:val="0043249F"/>
    <w:rsid w:val="00435AFE"/>
    <w:rsid w:val="00442ACC"/>
    <w:rsid w:val="00454179"/>
    <w:rsid w:val="00455A22"/>
    <w:rsid w:val="00484BDD"/>
    <w:rsid w:val="004A5E16"/>
    <w:rsid w:val="004C11CD"/>
    <w:rsid w:val="004C4BCD"/>
    <w:rsid w:val="004C6556"/>
    <w:rsid w:val="004E53C8"/>
    <w:rsid w:val="004F0081"/>
    <w:rsid w:val="004F2409"/>
    <w:rsid w:val="00500F63"/>
    <w:rsid w:val="005035CB"/>
    <w:rsid w:val="00543089"/>
    <w:rsid w:val="00561EF0"/>
    <w:rsid w:val="00571122"/>
    <w:rsid w:val="00573809"/>
    <w:rsid w:val="00574EC6"/>
    <w:rsid w:val="00576DEE"/>
    <w:rsid w:val="00576F29"/>
    <w:rsid w:val="005A3D00"/>
    <w:rsid w:val="005A6D6C"/>
    <w:rsid w:val="005B6DB4"/>
    <w:rsid w:val="005C5D4D"/>
    <w:rsid w:val="005D5F91"/>
    <w:rsid w:val="005E0C75"/>
    <w:rsid w:val="005F6267"/>
    <w:rsid w:val="006119E0"/>
    <w:rsid w:val="00615933"/>
    <w:rsid w:val="00616687"/>
    <w:rsid w:val="006202A5"/>
    <w:rsid w:val="00662448"/>
    <w:rsid w:val="00674545"/>
    <w:rsid w:val="00682DDC"/>
    <w:rsid w:val="00691245"/>
    <w:rsid w:val="00697322"/>
    <w:rsid w:val="006A5B29"/>
    <w:rsid w:val="006B11A0"/>
    <w:rsid w:val="006B3CD6"/>
    <w:rsid w:val="006C101F"/>
    <w:rsid w:val="006E108D"/>
    <w:rsid w:val="006E5346"/>
    <w:rsid w:val="006E7320"/>
    <w:rsid w:val="006E77A6"/>
    <w:rsid w:val="006F38A2"/>
    <w:rsid w:val="006F4D30"/>
    <w:rsid w:val="00720D1B"/>
    <w:rsid w:val="007253C1"/>
    <w:rsid w:val="00732F3D"/>
    <w:rsid w:val="00735EA0"/>
    <w:rsid w:val="00745847"/>
    <w:rsid w:val="00746827"/>
    <w:rsid w:val="00750851"/>
    <w:rsid w:val="00771379"/>
    <w:rsid w:val="007715F2"/>
    <w:rsid w:val="00780ED2"/>
    <w:rsid w:val="0078790A"/>
    <w:rsid w:val="007A2267"/>
    <w:rsid w:val="007A2A18"/>
    <w:rsid w:val="007B4893"/>
    <w:rsid w:val="007B4FAF"/>
    <w:rsid w:val="007C1B05"/>
    <w:rsid w:val="007C23A1"/>
    <w:rsid w:val="007D5915"/>
    <w:rsid w:val="007E6C9C"/>
    <w:rsid w:val="007F3E42"/>
    <w:rsid w:val="007F4D73"/>
    <w:rsid w:val="00843016"/>
    <w:rsid w:val="0085109B"/>
    <w:rsid w:val="008629A3"/>
    <w:rsid w:val="0089469E"/>
    <w:rsid w:val="008B6701"/>
    <w:rsid w:val="008F47F2"/>
    <w:rsid w:val="0091177F"/>
    <w:rsid w:val="009616D8"/>
    <w:rsid w:val="00972534"/>
    <w:rsid w:val="009813EB"/>
    <w:rsid w:val="0098639F"/>
    <w:rsid w:val="009D3429"/>
    <w:rsid w:val="009E0347"/>
    <w:rsid w:val="009F4A48"/>
    <w:rsid w:val="009F4A69"/>
    <w:rsid w:val="00A05B96"/>
    <w:rsid w:val="00A06931"/>
    <w:rsid w:val="00A10969"/>
    <w:rsid w:val="00A2498A"/>
    <w:rsid w:val="00A31158"/>
    <w:rsid w:val="00A379C4"/>
    <w:rsid w:val="00A53046"/>
    <w:rsid w:val="00A60100"/>
    <w:rsid w:val="00A77F52"/>
    <w:rsid w:val="00A85984"/>
    <w:rsid w:val="00AC395F"/>
    <w:rsid w:val="00AD4BF1"/>
    <w:rsid w:val="00AD7EC5"/>
    <w:rsid w:val="00AE7649"/>
    <w:rsid w:val="00B14A99"/>
    <w:rsid w:val="00B373B4"/>
    <w:rsid w:val="00B63F9F"/>
    <w:rsid w:val="00B70765"/>
    <w:rsid w:val="00B8109A"/>
    <w:rsid w:val="00B961B7"/>
    <w:rsid w:val="00BB3BF0"/>
    <w:rsid w:val="00BF739D"/>
    <w:rsid w:val="00C1131F"/>
    <w:rsid w:val="00C224AC"/>
    <w:rsid w:val="00C33254"/>
    <w:rsid w:val="00C47E6F"/>
    <w:rsid w:val="00C622E5"/>
    <w:rsid w:val="00C652EB"/>
    <w:rsid w:val="00C7176E"/>
    <w:rsid w:val="00C71B61"/>
    <w:rsid w:val="00C72E20"/>
    <w:rsid w:val="00CF67CE"/>
    <w:rsid w:val="00D03E13"/>
    <w:rsid w:val="00D142F2"/>
    <w:rsid w:val="00D36E3E"/>
    <w:rsid w:val="00D509A4"/>
    <w:rsid w:val="00D653D0"/>
    <w:rsid w:val="00D66670"/>
    <w:rsid w:val="00D72204"/>
    <w:rsid w:val="00D75D35"/>
    <w:rsid w:val="00D90F9C"/>
    <w:rsid w:val="00DB5A5B"/>
    <w:rsid w:val="00DD272C"/>
    <w:rsid w:val="00DF4672"/>
    <w:rsid w:val="00DF5F10"/>
    <w:rsid w:val="00E00C8C"/>
    <w:rsid w:val="00E129A1"/>
    <w:rsid w:val="00E20A2D"/>
    <w:rsid w:val="00E20E28"/>
    <w:rsid w:val="00E2216E"/>
    <w:rsid w:val="00E247F7"/>
    <w:rsid w:val="00E37E5A"/>
    <w:rsid w:val="00E51350"/>
    <w:rsid w:val="00E70B75"/>
    <w:rsid w:val="00E84FBB"/>
    <w:rsid w:val="00E87655"/>
    <w:rsid w:val="00E87B91"/>
    <w:rsid w:val="00E90864"/>
    <w:rsid w:val="00E931F7"/>
    <w:rsid w:val="00EA4B80"/>
    <w:rsid w:val="00EA5478"/>
    <w:rsid w:val="00EA5A1E"/>
    <w:rsid w:val="00EB3D9E"/>
    <w:rsid w:val="00EE0FFD"/>
    <w:rsid w:val="00EE30F8"/>
    <w:rsid w:val="00F101CB"/>
    <w:rsid w:val="00F601DC"/>
    <w:rsid w:val="00F60949"/>
    <w:rsid w:val="00F7022A"/>
    <w:rsid w:val="00F7660E"/>
    <w:rsid w:val="00F9075F"/>
    <w:rsid w:val="00FC3884"/>
    <w:rsid w:val="00FD0A4F"/>
    <w:rsid w:val="00FD6D39"/>
    <w:rsid w:val="00FF7A12"/>
    <w:rsid w:val="00FFA5AA"/>
    <w:rsid w:val="115D8BC3"/>
    <w:rsid w:val="16D0D728"/>
    <w:rsid w:val="32C363C2"/>
    <w:rsid w:val="3E742B29"/>
    <w:rsid w:val="404C3BA5"/>
    <w:rsid w:val="4083658C"/>
    <w:rsid w:val="51A00EF2"/>
    <w:rsid w:val="525ABB85"/>
    <w:rsid w:val="542C403C"/>
    <w:rsid w:val="70E62621"/>
    <w:rsid w:val="7C39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8ECC"/>
  <w15:chartTrackingRefBased/>
  <w15:docId w15:val="{3BFDD7D0-2098-4719-B3EC-20ECCC1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72"/>
    <w:pPr>
      <w:widowControl w:val="0"/>
      <w:suppressAutoHyphens/>
      <w:autoSpaceDE w:val="0"/>
      <w:autoSpaceDN w:val="0"/>
      <w:adjustRightInd w:val="0"/>
      <w:spacing w:after="0" w:line="280" w:lineRule="exact"/>
      <w:textAlignment w:val="center"/>
    </w:pPr>
    <w:rPr>
      <w:rFonts w:ascii="Arial" w:eastAsia="Times New Roman" w:hAnsi="Arial" w:cs="Times New Roman"/>
      <w:color w:val="000000" w:themeColor="text1"/>
      <w:sz w:val="18"/>
      <w:szCs w:val="18"/>
      <w:lang w:eastAsia="en-GB"/>
    </w:rPr>
  </w:style>
  <w:style w:type="paragraph" w:styleId="Heading1">
    <w:name w:val="heading 1"/>
    <w:basedOn w:val="Normal"/>
    <w:next w:val="Normal"/>
    <w:link w:val="Heading1Char"/>
    <w:uiPriority w:val="9"/>
    <w:qFormat/>
    <w:rsid w:val="001B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10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5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7872"/>
    <w:pPr>
      <w:widowControl/>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normaltextrun">
    <w:name w:val="normaltextrun"/>
    <w:basedOn w:val="DefaultParagraphFont"/>
    <w:rsid w:val="001B7872"/>
  </w:style>
  <w:style w:type="character" w:customStyle="1" w:styleId="eop">
    <w:name w:val="eop"/>
    <w:basedOn w:val="DefaultParagraphFont"/>
    <w:rsid w:val="001B7872"/>
  </w:style>
  <w:style w:type="paragraph" w:styleId="Header">
    <w:name w:val="header"/>
    <w:basedOn w:val="Normal"/>
    <w:link w:val="HeaderChar"/>
    <w:uiPriority w:val="99"/>
    <w:unhideWhenUsed/>
    <w:rsid w:val="001B7872"/>
    <w:pPr>
      <w:tabs>
        <w:tab w:val="center" w:pos="4513"/>
        <w:tab w:val="right" w:pos="9026"/>
      </w:tabs>
      <w:spacing w:line="240" w:lineRule="auto"/>
    </w:pPr>
  </w:style>
  <w:style w:type="character" w:customStyle="1" w:styleId="HeaderChar">
    <w:name w:val="Header Char"/>
    <w:basedOn w:val="DefaultParagraphFont"/>
    <w:link w:val="Header"/>
    <w:uiPriority w:val="99"/>
    <w:rsid w:val="001B7872"/>
    <w:rPr>
      <w:rFonts w:ascii="Arial" w:eastAsia="Times New Roman" w:hAnsi="Arial" w:cs="Times New Roman"/>
      <w:color w:val="000000" w:themeColor="text1"/>
      <w:sz w:val="18"/>
      <w:szCs w:val="18"/>
      <w:lang w:eastAsia="en-GB"/>
    </w:rPr>
  </w:style>
  <w:style w:type="paragraph" w:styleId="Footer">
    <w:name w:val="footer"/>
    <w:basedOn w:val="Normal"/>
    <w:link w:val="FooterChar"/>
    <w:uiPriority w:val="99"/>
    <w:unhideWhenUsed/>
    <w:rsid w:val="001B7872"/>
    <w:pPr>
      <w:tabs>
        <w:tab w:val="center" w:pos="4513"/>
        <w:tab w:val="right" w:pos="9026"/>
      </w:tabs>
      <w:spacing w:line="240" w:lineRule="auto"/>
    </w:pPr>
  </w:style>
  <w:style w:type="character" w:customStyle="1" w:styleId="FooterChar">
    <w:name w:val="Footer Char"/>
    <w:basedOn w:val="DefaultParagraphFont"/>
    <w:link w:val="Footer"/>
    <w:uiPriority w:val="99"/>
    <w:rsid w:val="001B7872"/>
    <w:rPr>
      <w:rFonts w:ascii="Arial" w:eastAsia="Times New Roman" w:hAnsi="Arial" w:cs="Times New Roman"/>
      <w:color w:val="000000" w:themeColor="text1"/>
      <w:sz w:val="18"/>
      <w:szCs w:val="18"/>
      <w:lang w:eastAsia="en-GB"/>
    </w:rPr>
  </w:style>
  <w:style w:type="paragraph" w:styleId="NoSpacing">
    <w:name w:val="No Spacing"/>
    <w:uiPriority w:val="1"/>
    <w:qFormat/>
    <w:rsid w:val="001B7872"/>
    <w:pPr>
      <w:widowControl w:val="0"/>
      <w:suppressAutoHyphens/>
      <w:autoSpaceDE w:val="0"/>
      <w:autoSpaceDN w:val="0"/>
      <w:adjustRightInd w:val="0"/>
      <w:spacing w:after="0" w:line="240" w:lineRule="auto"/>
      <w:textAlignment w:val="center"/>
    </w:pPr>
    <w:rPr>
      <w:rFonts w:ascii="Arial" w:eastAsia="Times New Roman" w:hAnsi="Arial" w:cs="Times New Roman"/>
      <w:color w:val="000000" w:themeColor="text1"/>
      <w:sz w:val="18"/>
      <w:szCs w:val="18"/>
      <w:lang w:eastAsia="en-GB"/>
    </w:rPr>
  </w:style>
  <w:style w:type="character" w:customStyle="1" w:styleId="Heading1Char">
    <w:name w:val="Heading 1 Char"/>
    <w:basedOn w:val="DefaultParagraphFont"/>
    <w:link w:val="Heading1"/>
    <w:uiPriority w:val="9"/>
    <w:rsid w:val="001B787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201B37"/>
    <w:rPr>
      <w:color w:val="0563C1" w:themeColor="hyperlink"/>
      <w:u w:val="single"/>
    </w:rPr>
  </w:style>
  <w:style w:type="character" w:styleId="UnresolvedMention">
    <w:name w:val="Unresolved Mention"/>
    <w:basedOn w:val="DefaultParagraphFont"/>
    <w:uiPriority w:val="99"/>
    <w:semiHidden/>
    <w:unhideWhenUsed/>
    <w:rsid w:val="00201B37"/>
    <w:rPr>
      <w:color w:val="605E5C"/>
      <w:shd w:val="clear" w:color="auto" w:fill="E1DFDD"/>
    </w:rPr>
  </w:style>
  <w:style w:type="character" w:customStyle="1" w:styleId="apple-converted-space">
    <w:name w:val="apple-converted-space"/>
    <w:basedOn w:val="DefaultParagraphFont"/>
    <w:rsid w:val="00561EF0"/>
  </w:style>
  <w:style w:type="character" w:customStyle="1" w:styleId="scxw125585252">
    <w:name w:val="scxw125585252"/>
    <w:basedOn w:val="DefaultParagraphFont"/>
    <w:rsid w:val="00561EF0"/>
  </w:style>
  <w:style w:type="character" w:customStyle="1" w:styleId="Heading2Char">
    <w:name w:val="Heading 2 Char"/>
    <w:basedOn w:val="DefaultParagraphFont"/>
    <w:link w:val="Heading2"/>
    <w:uiPriority w:val="9"/>
    <w:rsid w:val="00B8109A"/>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B8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09A"/>
    <w:rPr>
      <w:sz w:val="16"/>
      <w:szCs w:val="16"/>
    </w:rPr>
  </w:style>
  <w:style w:type="paragraph" w:styleId="CommentText">
    <w:name w:val="annotation text"/>
    <w:basedOn w:val="Normal"/>
    <w:link w:val="CommentTextChar"/>
    <w:uiPriority w:val="99"/>
    <w:unhideWhenUsed/>
    <w:rsid w:val="00B8109A"/>
    <w:pPr>
      <w:widowControl/>
      <w:suppressAutoHyphens w:val="0"/>
      <w:autoSpaceDE/>
      <w:autoSpaceDN/>
      <w:adjustRightInd/>
      <w:spacing w:after="120" w:line="240" w:lineRule="auto"/>
      <w:jc w:val="both"/>
      <w:textAlignment w:val="auto"/>
    </w:pPr>
    <w:rPr>
      <w:rFonts w:ascii="Calibri Light" w:eastAsiaTheme="minorHAnsi" w:hAnsi="Calibri Light" w:cstheme="minorBidi"/>
      <w:color w:val="auto"/>
      <w:sz w:val="20"/>
      <w:szCs w:val="20"/>
      <w:lang w:eastAsia="en-US"/>
    </w:rPr>
  </w:style>
  <w:style w:type="character" w:customStyle="1" w:styleId="CommentTextChar">
    <w:name w:val="Comment Text Char"/>
    <w:basedOn w:val="DefaultParagraphFont"/>
    <w:link w:val="CommentText"/>
    <w:uiPriority w:val="99"/>
    <w:rsid w:val="00B8109A"/>
    <w:rPr>
      <w:rFonts w:ascii="Calibri Light" w:hAnsi="Calibri Light"/>
      <w:sz w:val="20"/>
      <w:szCs w:val="20"/>
      <w:lang w:val="pt-BR"/>
    </w:rPr>
  </w:style>
  <w:style w:type="character" w:styleId="Mention">
    <w:name w:val="Mention"/>
    <w:basedOn w:val="DefaultParagraphFont"/>
    <w:uiPriority w:val="99"/>
    <w:unhideWhenUsed/>
    <w:rsid w:val="00B8109A"/>
    <w:rPr>
      <w:color w:val="2B579A"/>
      <w:shd w:val="clear" w:color="auto" w:fill="E1DFDD"/>
    </w:rPr>
  </w:style>
  <w:style w:type="character" w:customStyle="1" w:styleId="Heading3Char">
    <w:name w:val="Heading 3 Char"/>
    <w:basedOn w:val="DefaultParagraphFont"/>
    <w:link w:val="Heading3"/>
    <w:uiPriority w:val="9"/>
    <w:semiHidden/>
    <w:rsid w:val="000775D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C6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124">
      <w:bodyDiv w:val="1"/>
      <w:marLeft w:val="0"/>
      <w:marRight w:val="0"/>
      <w:marTop w:val="0"/>
      <w:marBottom w:val="0"/>
      <w:divBdr>
        <w:top w:val="none" w:sz="0" w:space="0" w:color="auto"/>
        <w:left w:val="none" w:sz="0" w:space="0" w:color="auto"/>
        <w:bottom w:val="none" w:sz="0" w:space="0" w:color="auto"/>
        <w:right w:val="none" w:sz="0" w:space="0" w:color="auto"/>
      </w:divBdr>
      <w:divsChild>
        <w:div w:id="949554840">
          <w:marLeft w:val="0"/>
          <w:marRight w:val="0"/>
          <w:marTop w:val="0"/>
          <w:marBottom w:val="0"/>
          <w:divBdr>
            <w:top w:val="none" w:sz="0" w:space="0" w:color="auto"/>
            <w:left w:val="none" w:sz="0" w:space="0" w:color="auto"/>
            <w:bottom w:val="none" w:sz="0" w:space="0" w:color="auto"/>
            <w:right w:val="none" w:sz="0" w:space="0" w:color="auto"/>
          </w:divBdr>
        </w:div>
        <w:div w:id="1588417144">
          <w:marLeft w:val="0"/>
          <w:marRight w:val="0"/>
          <w:marTop w:val="0"/>
          <w:marBottom w:val="0"/>
          <w:divBdr>
            <w:top w:val="none" w:sz="0" w:space="0" w:color="auto"/>
            <w:left w:val="none" w:sz="0" w:space="0" w:color="auto"/>
            <w:bottom w:val="none" w:sz="0" w:space="0" w:color="auto"/>
            <w:right w:val="none" w:sz="0" w:space="0" w:color="auto"/>
          </w:divBdr>
        </w:div>
        <w:div w:id="1984197006">
          <w:marLeft w:val="0"/>
          <w:marRight w:val="0"/>
          <w:marTop w:val="0"/>
          <w:marBottom w:val="0"/>
          <w:divBdr>
            <w:top w:val="none" w:sz="0" w:space="0" w:color="auto"/>
            <w:left w:val="none" w:sz="0" w:space="0" w:color="auto"/>
            <w:bottom w:val="none" w:sz="0" w:space="0" w:color="auto"/>
            <w:right w:val="none" w:sz="0" w:space="0" w:color="auto"/>
          </w:divBdr>
        </w:div>
        <w:div w:id="126631514">
          <w:marLeft w:val="0"/>
          <w:marRight w:val="0"/>
          <w:marTop w:val="0"/>
          <w:marBottom w:val="0"/>
          <w:divBdr>
            <w:top w:val="none" w:sz="0" w:space="0" w:color="auto"/>
            <w:left w:val="none" w:sz="0" w:space="0" w:color="auto"/>
            <w:bottom w:val="none" w:sz="0" w:space="0" w:color="auto"/>
            <w:right w:val="none" w:sz="0" w:space="0" w:color="auto"/>
          </w:divBdr>
        </w:div>
        <w:div w:id="319626188">
          <w:marLeft w:val="0"/>
          <w:marRight w:val="0"/>
          <w:marTop w:val="0"/>
          <w:marBottom w:val="0"/>
          <w:divBdr>
            <w:top w:val="none" w:sz="0" w:space="0" w:color="auto"/>
            <w:left w:val="none" w:sz="0" w:space="0" w:color="auto"/>
            <w:bottom w:val="none" w:sz="0" w:space="0" w:color="auto"/>
            <w:right w:val="none" w:sz="0" w:space="0" w:color="auto"/>
          </w:divBdr>
        </w:div>
        <w:div w:id="2087724471">
          <w:marLeft w:val="0"/>
          <w:marRight w:val="0"/>
          <w:marTop w:val="0"/>
          <w:marBottom w:val="0"/>
          <w:divBdr>
            <w:top w:val="none" w:sz="0" w:space="0" w:color="auto"/>
            <w:left w:val="none" w:sz="0" w:space="0" w:color="auto"/>
            <w:bottom w:val="none" w:sz="0" w:space="0" w:color="auto"/>
            <w:right w:val="none" w:sz="0" w:space="0" w:color="auto"/>
          </w:divBdr>
        </w:div>
        <w:div w:id="1870101396">
          <w:marLeft w:val="0"/>
          <w:marRight w:val="0"/>
          <w:marTop w:val="0"/>
          <w:marBottom w:val="0"/>
          <w:divBdr>
            <w:top w:val="none" w:sz="0" w:space="0" w:color="auto"/>
            <w:left w:val="none" w:sz="0" w:space="0" w:color="auto"/>
            <w:bottom w:val="none" w:sz="0" w:space="0" w:color="auto"/>
            <w:right w:val="none" w:sz="0" w:space="0" w:color="auto"/>
          </w:divBdr>
        </w:div>
      </w:divsChild>
    </w:div>
    <w:div w:id="642126917">
      <w:bodyDiv w:val="1"/>
      <w:marLeft w:val="0"/>
      <w:marRight w:val="0"/>
      <w:marTop w:val="0"/>
      <w:marBottom w:val="0"/>
      <w:divBdr>
        <w:top w:val="none" w:sz="0" w:space="0" w:color="auto"/>
        <w:left w:val="none" w:sz="0" w:space="0" w:color="auto"/>
        <w:bottom w:val="none" w:sz="0" w:space="0" w:color="auto"/>
        <w:right w:val="none" w:sz="0" w:space="0" w:color="auto"/>
      </w:divBdr>
    </w:div>
    <w:div w:id="646861886">
      <w:bodyDiv w:val="1"/>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
        <w:div w:id="271211170">
          <w:marLeft w:val="0"/>
          <w:marRight w:val="0"/>
          <w:marTop w:val="0"/>
          <w:marBottom w:val="0"/>
          <w:divBdr>
            <w:top w:val="none" w:sz="0" w:space="0" w:color="auto"/>
            <w:left w:val="none" w:sz="0" w:space="0" w:color="auto"/>
            <w:bottom w:val="none" w:sz="0" w:space="0" w:color="auto"/>
            <w:right w:val="none" w:sz="0" w:space="0" w:color="auto"/>
          </w:divBdr>
        </w:div>
        <w:div w:id="289213426">
          <w:marLeft w:val="0"/>
          <w:marRight w:val="0"/>
          <w:marTop w:val="0"/>
          <w:marBottom w:val="0"/>
          <w:divBdr>
            <w:top w:val="none" w:sz="0" w:space="0" w:color="auto"/>
            <w:left w:val="none" w:sz="0" w:space="0" w:color="auto"/>
            <w:bottom w:val="none" w:sz="0" w:space="0" w:color="auto"/>
            <w:right w:val="none" w:sz="0" w:space="0" w:color="auto"/>
          </w:divBdr>
        </w:div>
        <w:div w:id="1295794681">
          <w:marLeft w:val="0"/>
          <w:marRight w:val="0"/>
          <w:marTop w:val="0"/>
          <w:marBottom w:val="0"/>
          <w:divBdr>
            <w:top w:val="none" w:sz="0" w:space="0" w:color="auto"/>
            <w:left w:val="none" w:sz="0" w:space="0" w:color="auto"/>
            <w:bottom w:val="none" w:sz="0" w:space="0" w:color="auto"/>
            <w:right w:val="none" w:sz="0" w:space="0" w:color="auto"/>
          </w:divBdr>
        </w:div>
        <w:div w:id="69155570">
          <w:marLeft w:val="0"/>
          <w:marRight w:val="0"/>
          <w:marTop w:val="0"/>
          <w:marBottom w:val="0"/>
          <w:divBdr>
            <w:top w:val="none" w:sz="0" w:space="0" w:color="auto"/>
            <w:left w:val="none" w:sz="0" w:space="0" w:color="auto"/>
            <w:bottom w:val="none" w:sz="0" w:space="0" w:color="auto"/>
            <w:right w:val="none" w:sz="0" w:space="0" w:color="auto"/>
          </w:divBdr>
        </w:div>
        <w:div w:id="2125034248">
          <w:marLeft w:val="0"/>
          <w:marRight w:val="0"/>
          <w:marTop w:val="0"/>
          <w:marBottom w:val="0"/>
          <w:divBdr>
            <w:top w:val="none" w:sz="0" w:space="0" w:color="auto"/>
            <w:left w:val="none" w:sz="0" w:space="0" w:color="auto"/>
            <w:bottom w:val="none" w:sz="0" w:space="0" w:color="auto"/>
            <w:right w:val="none" w:sz="0" w:space="0" w:color="auto"/>
          </w:divBdr>
        </w:div>
        <w:div w:id="324212045">
          <w:marLeft w:val="0"/>
          <w:marRight w:val="0"/>
          <w:marTop w:val="0"/>
          <w:marBottom w:val="0"/>
          <w:divBdr>
            <w:top w:val="none" w:sz="0" w:space="0" w:color="auto"/>
            <w:left w:val="none" w:sz="0" w:space="0" w:color="auto"/>
            <w:bottom w:val="none" w:sz="0" w:space="0" w:color="auto"/>
            <w:right w:val="none" w:sz="0" w:space="0" w:color="auto"/>
          </w:divBdr>
        </w:div>
        <w:div w:id="853109939">
          <w:marLeft w:val="0"/>
          <w:marRight w:val="0"/>
          <w:marTop w:val="0"/>
          <w:marBottom w:val="0"/>
          <w:divBdr>
            <w:top w:val="none" w:sz="0" w:space="0" w:color="auto"/>
            <w:left w:val="none" w:sz="0" w:space="0" w:color="auto"/>
            <w:bottom w:val="none" w:sz="0" w:space="0" w:color="auto"/>
            <w:right w:val="none" w:sz="0" w:space="0" w:color="auto"/>
          </w:divBdr>
        </w:div>
        <w:div w:id="758987692">
          <w:marLeft w:val="0"/>
          <w:marRight w:val="0"/>
          <w:marTop w:val="0"/>
          <w:marBottom w:val="0"/>
          <w:divBdr>
            <w:top w:val="none" w:sz="0" w:space="0" w:color="auto"/>
            <w:left w:val="none" w:sz="0" w:space="0" w:color="auto"/>
            <w:bottom w:val="none" w:sz="0" w:space="0" w:color="auto"/>
            <w:right w:val="none" w:sz="0" w:space="0" w:color="auto"/>
          </w:divBdr>
        </w:div>
        <w:div w:id="1069421851">
          <w:marLeft w:val="0"/>
          <w:marRight w:val="0"/>
          <w:marTop w:val="0"/>
          <w:marBottom w:val="0"/>
          <w:divBdr>
            <w:top w:val="none" w:sz="0" w:space="0" w:color="auto"/>
            <w:left w:val="none" w:sz="0" w:space="0" w:color="auto"/>
            <w:bottom w:val="none" w:sz="0" w:space="0" w:color="auto"/>
            <w:right w:val="none" w:sz="0" w:space="0" w:color="auto"/>
          </w:divBdr>
        </w:div>
        <w:div w:id="1167327410">
          <w:marLeft w:val="0"/>
          <w:marRight w:val="0"/>
          <w:marTop w:val="0"/>
          <w:marBottom w:val="0"/>
          <w:divBdr>
            <w:top w:val="none" w:sz="0" w:space="0" w:color="auto"/>
            <w:left w:val="none" w:sz="0" w:space="0" w:color="auto"/>
            <w:bottom w:val="none" w:sz="0" w:space="0" w:color="auto"/>
            <w:right w:val="none" w:sz="0" w:space="0" w:color="auto"/>
          </w:divBdr>
        </w:div>
        <w:div w:id="701170656">
          <w:marLeft w:val="0"/>
          <w:marRight w:val="0"/>
          <w:marTop w:val="0"/>
          <w:marBottom w:val="0"/>
          <w:divBdr>
            <w:top w:val="none" w:sz="0" w:space="0" w:color="auto"/>
            <w:left w:val="none" w:sz="0" w:space="0" w:color="auto"/>
            <w:bottom w:val="none" w:sz="0" w:space="0" w:color="auto"/>
            <w:right w:val="none" w:sz="0" w:space="0" w:color="auto"/>
          </w:divBdr>
        </w:div>
        <w:div w:id="988753409">
          <w:marLeft w:val="0"/>
          <w:marRight w:val="0"/>
          <w:marTop w:val="0"/>
          <w:marBottom w:val="0"/>
          <w:divBdr>
            <w:top w:val="none" w:sz="0" w:space="0" w:color="auto"/>
            <w:left w:val="none" w:sz="0" w:space="0" w:color="auto"/>
            <w:bottom w:val="none" w:sz="0" w:space="0" w:color="auto"/>
            <w:right w:val="none" w:sz="0" w:space="0" w:color="auto"/>
          </w:divBdr>
        </w:div>
        <w:div w:id="1970435476">
          <w:marLeft w:val="0"/>
          <w:marRight w:val="0"/>
          <w:marTop w:val="0"/>
          <w:marBottom w:val="0"/>
          <w:divBdr>
            <w:top w:val="none" w:sz="0" w:space="0" w:color="auto"/>
            <w:left w:val="none" w:sz="0" w:space="0" w:color="auto"/>
            <w:bottom w:val="none" w:sz="0" w:space="0" w:color="auto"/>
            <w:right w:val="none" w:sz="0" w:space="0" w:color="auto"/>
          </w:divBdr>
        </w:div>
        <w:div w:id="1447576744">
          <w:marLeft w:val="0"/>
          <w:marRight w:val="0"/>
          <w:marTop w:val="0"/>
          <w:marBottom w:val="0"/>
          <w:divBdr>
            <w:top w:val="none" w:sz="0" w:space="0" w:color="auto"/>
            <w:left w:val="none" w:sz="0" w:space="0" w:color="auto"/>
            <w:bottom w:val="none" w:sz="0" w:space="0" w:color="auto"/>
            <w:right w:val="none" w:sz="0" w:space="0" w:color="auto"/>
          </w:divBdr>
        </w:div>
        <w:div w:id="2054183852">
          <w:marLeft w:val="0"/>
          <w:marRight w:val="0"/>
          <w:marTop w:val="0"/>
          <w:marBottom w:val="0"/>
          <w:divBdr>
            <w:top w:val="none" w:sz="0" w:space="0" w:color="auto"/>
            <w:left w:val="none" w:sz="0" w:space="0" w:color="auto"/>
            <w:bottom w:val="none" w:sz="0" w:space="0" w:color="auto"/>
            <w:right w:val="none" w:sz="0" w:space="0" w:color="auto"/>
          </w:divBdr>
        </w:div>
        <w:div w:id="2000697080">
          <w:marLeft w:val="0"/>
          <w:marRight w:val="0"/>
          <w:marTop w:val="0"/>
          <w:marBottom w:val="0"/>
          <w:divBdr>
            <w:top w:val="none" w:sz="0" w:space="0" w:color="auto"/>
            <w:left w:val="none" w:sz="0" w:space="0" w:color="auto"/>
            <w:bottom w:val="none" w:sz="0" w:space="0" w:color="auto"/>
            <w:right w:val="none" w:sz="0" w:space="0" w:color="auto"/>
          </w:divBdr>
        </w:div>
        <w:div w:id="1381855124">
          <w:marLeft w:val="0"/>
          <w:marRight w:val="0"/>
          <w:marTop w:val="0"/>
          <w:marBottom w:val="0"/>
          <w:divBdr>
            <w:top w:val="none" w:sz="0" w:space="0" w:color="auto"/>
            <w:left w:val="none" w:sz="0" w:space="0" w:color="auto"/>
            <w:bottom w:val="none" w:sz="0" w:space="0" w:color="auto"/>
            <w:right w:val="none" w:sz="0" w:space="0" w:color="auto"/>
          </w:divBdr>
        </w:div>
        <w:div w:id="650446057">
          <w:marLeft w:val="0"/>
          <w:marRight w:val="0"/>
          <w:marTop w:val="0"/>
          <w:marBottom w:val="0"/>
          <w:divBdr>
            <w:top w:val="none" w:sz="0" w:space="0" w:color="auto"/>
            <w:left w:val="none" w:sz="0" w:space="0" w:color="auto"/>
            <w:bottom w:val="none" w:sz="0" w:space="0" w:color="auto"/>
            <w:right w:val="none" w:sz="0" w:space="0" w:color="auto"/>
          </w:divBdr>
        </w:div>
        <w:div w:id="1828859387">
          <w:marLeft w:val="0"/>
          <w:marRight w:val="0"/>
          <w:marTop w:val="0"/>
          <w:marBottom w:val="0"/>
          <w:divBdr>
            <w:top w:val="none" w:sz="0" w:space="0" w:color="auto"/>
            <w:left w:val="none" w:sz="0" w:space="0" w:color="auto"/>
            <w:bottom w:val="none" w:sz="0" w:space="0" w:color="auto"/>
            <w:right w:val="none" w:sz="0" w:space="0" w:color="auto"/>
          </w:divBdr>
        </w:div>
        <w:div w:id="2106414696">
          <w:marLeft w:val="0"/>
          <w:marRight w:val="0"/>
          <w:marTop w:val="0"/>
          <w:marBottom w:val="0"/>
          <w:divBdr>
            <w:top w:val="none" w:sz="0" w:space="0" w:color="auto"/>
            <w:left w:val="none" w:sz="0" w:space="0" w:color="auto"/>
            <w:bottom w:val="none" w:sz="0" w:space="0" w:color="auto"/>
            <w:right w:val="none" w:sz="0" w:space="0" w:color="auto"/>
          </w:divBdr>
        </w:div>
        <w:div w:id="1983390684">
          <w:marLeft w:val="0"/>
          <w:marRight w:val="0"/>
          <w:marTop w:val="0"/>
          <w:marBottom w:val="0"/>
          <w:divBdr>
            <w:top w:val="none" w:sz="0" w:space="0" w:color="auto"/>
            <w:left w:val="none" w:sz="0" w:space="0" w:color="auto"/>
            <w:bottom w:val="none" w:sz="0" w:space="0" w:color="auto"/>
            <w:right w:val="none" w:sz="0" w:space="0" w:color="auto"/>
          </w:divBdr>
        </w:div>
        <w:div w:id="974289760">
          <w:marLeft w:val="0"/>
          <w:marRight w:val="0"/>
          <w:marTop w:val="0"/>
          <w:marBottom w:val="0"/>
          <w:divBdr>
            <w:top w:val="none" w:sz="0" w:space="0" w:color="auto"/>
            <w:left w:val="none" w:sz="0" w:space="0" w:color="auto"/>
            <w:bottom w:val="none" w:sz="0" w:space="0" w:color="auto"/>
            <w:right w:val="none" w:sz="0" w:space="0" w:color="auto"/>
          </w:divBdr>
        </w:div>
        <w:div w:id="1004477889">
          <w:marLeft w:val="0"/>
          <w:marRight w:val="0"/>
          <w:marTop w:val="0"/>
          <w:marBottom w:val="0"/>
          <w:divBdr>
            <w:top w:val="none" w:sz="0" w:space="0" w:color="auto"/>
            <w:left w:val="none" w:sz="0" w:space="0" w:color="auto"/>
            <w:bottom w:val="none" w:sz="0" w:space="0" w:color="auto"/>
            <w:right w:val="none" w:sz="0" w:space="0" w:color="auto"/>
          </w:divBdr>
        </w:div>
        <w:div w:id="2015959822">
          <w:marLeft w:val="0"/>
          <w:marRight w:val="0"/>
          <w:marTop w:val="0"/>
          <w:marBottom w:val="0"/>
          <w:divBdr>
            <w:top w:val="none" w:sz="0" w:space="0" w:color="auto"/>
            <w:left w:val="none" w:sz="0" w:space="0" w:color="auto"/>
            <w:bottom w:val="none" w:sz="0" w:space="0" w:color="auto"/>
            <w:right w:val="none" w:sz="0" w:space="0" w:color="auto"/>
          </w:divBdr>
        </w:div>
        <w:div w:id="187640561">
          <w:marLeft w:val="0"/>
          <w:marRight w:val="0"/>
          <w:marTop w:val="0"/>
          <w:marBottom w:val="0"/>
          <w:divBdr>
            <w:top w:val="none" w:sz="0" w:space="0" w:color="auto"/>
            <w:left w:val="none" w:sz="0" w:space="0" w:color="auto"/>
            <w:bottom w:val="none" w:sz="0" w:space="0" w:color="auto"/>
            <w:right w:val="none" w:sz="0" w:space="0" w:color="auto"/>
          </w:divBdr>
        </w:div>
        <w:div w:id="1928689781">
          <w:marLeft w:val="0"/>
          <w:marRight w:val="0"/>
          <w:marTop w:val="0"/>
          <w:marBottom w:val="0"/>
          <w:divBdr>
            <w:top w:val="none" w:sz="0" w:space="0" w:color="auto"/>
            <w:left w:val="none" w:sz="0" w:space="0" w:color="auto"/>
            <w:bottom w:val="none" w:sz="0" w:space="0" w:color="auto"/>
            <w:right w:val="none" w:sz="0" w:space="0" w:color="auto"/>
          </w:divBdr>
        </w:div>
        <w:div w:id="1268197624">
          <w:marLeft w:val="0"/>
          <w:marRight w:val="0"/>
          <w:marTop w:val="0"/>
          <w:marBottom w:val="0"/>
          <w:divBdr>
            <w:top w:val="none" w:sz="0" w:space="0" w:color="auto"/>
            <w:left w:val="none" w:sz="0" w:space="0" w:color="auto"/>
            <w:bottom w:val="none" w:sz="0" w:space="0" w:color="auto"/>
            <w:right w:val="none" w:sz="0" w:space="0" w:color="auto"/>
          </w:divBdr>
        </w:div>
        <w:div w:id="1184825857">
          <w:marLeft w:val="0"/>
          <w:marRight w:val="0"/>
          <w:marTop w:val="0"/>
          <w:marBottom w:val="0"/>
          <w:divBdr>
            <w:top w:val="none" w:sz="0" w:space="0" w:color="auto"/>
            <w:left w:val="none" w:sz="0" w:space="0" w:color="auto"/>
            <w:bottom w:val="none" w:sz="0" w:space="0" w:color="auto"/>
            <w:right w:val="none" w:sz="0" w:space="0" w:color="auto"/>
          </w:divBdr>
        </w:div>
        <w:div w:id="2055539063">
          <w:marLeft w:val="0"/>
          <w:marRight w:val="0"/>
          <w:marTop w:val="0"/>
          <w:marBottom w:val="0"/>
          <w:divBdr>
            <w:top w:val="none" w:sz="0" w:space="0" w:color="auto"/>
            <w:left w:val="none" w:sz="0" w:space="0" w:color="auto"/>
            <w:bottom w:val="none" w:sz="0" w:space="0" w:color="auto"/>
            <w:right w:val="none" w:sz="0" w:space="0" w:color="auto"/>
          </w:divBdr>
        </w:div>
        <w:div w:id="357774008">
          <w:marLeft w:val="0"/>
          <w:marRight w:val="0"/>
          <w:marTop w:val="0"/>
          <w:marBottom w:val="0"/>
          <w:divBdr>
            <w:top w:val="none" w:sz="0" w:space="0" w:color="auto"/>
            <w:left w:val="none" w:sz="0" w:space="0" w:color="auto"/>
            <w:bottom w:val="none" w:sz="0" w:space="0" w:color="auto"/>
            <w:right w:val="none" w:sz="0" w:space="0" w:color="auto"/>
          </w:divBdr>
        </w:div>
        <w:div w:id="1112553580">
          <w:marLeft w:val="0"/>
          <w:marRight w:val="0"/>
          <w:marTop w:val="0"/>
          <w:marBottom w:val="0"/>
          <w:divBdr>
            <w:top w:val="none" w:sz="0" w:space="0" w:color="auto"/>
            <w:left w:val="none" w:sz="0" w:space="0" w:color="auto"/>
            <w:bottom w:val="none" w:sz="0" w:space="0" w:color="auto"/>
            <w:right w:val="none" w:sz="0" w:space="0" w:color="auto"/>
          </w:divBdr>
        </w:div>
        <w:div w:id="262110785">
          <w:marLeft w:val="0"/>
          <w:marRight w:val="0"/>
          <w:marTop w:val="0"/>
          <w:marBottom w:val="0"/>
          <w:divBdr>
            <w:top w:val="none" w:sz="0" w:space="0" w:color="auto"/>
            <w:left w:val="none" w:sz="0" w:space="0" w:color="auto"/>
            <w:bottom w:val="none" w:sz="0" w:space="0" w:color="auto"/>
            <w:right w:val="none" w:sz="0" w:space="0" w:color="auto"/>
          </w:divBdr>
        </w:div>
        <w:div w:id="764691002">
          <w:marLeft w:val="0"/>
          <w:marRight w:val="0"/>
          <w:marTop w:val="0"/>
          <w:marBottom w:val="0"/>
          <w:divBdr>
            <w:top w:val="none" w:sz="0" w:space="0" w:color="auto"/>
            <w:left w:val="none" w:sz="0" w:space="0" w:color="auto"/>
            <w:bottom w:val="none" w:sz="0" w:space="0" w:color="auto"/>
            <w:right w:val="none" w:sz="0" w:space="0" w:color="auto"/>
          </w:divBdr>
        </w:div>
        <w:div w:id="1372609053">
          <w:marLeft w:val="0"/>
          <w:marRight w:val="0"/>
          <w:marTop w:val="0"/>
          <w:marBottom w:val="0"/>
          <w:divBdr>
            <w:top w:val="none" w:sz="0" w:space="0" w:color="auto"/>
            <w:left w:val="none" w:sz="0" w:space="0" w:color="auto"/>
            <w:bottom w:val="none" w:sz="0" w:space="0" w:color="auto"/>
            <w:right w:val="none" w:sz="0" w:space="0" w:color="auto"/>
          </w:divBdr>
        </w:div>
        <w:div w:id="696010267">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790856004">
          <w:marLeft w:val="0"/>
          <w:marRight w:val="0"/>
          <w:marTop w:val="0"/>
          <w:marBottom w:val="0"/>
          <w:divBdr>
            <w:top w:val="none" w:sz="0" w:space="0" w:color="auto"/>
            <w:left w:val="none" w:sz="0" w:space="0" w:color="auto"/>
            <w:bottom w:val="none" w:sz="0" w:space="0" w:color="auto"/>
            <w:right w:val="none" w:sz="0" w:space="0" w:color="auto"/>
          </w:divBdr>
        </w:div>
        <w:div w:id="282812784">
          <w:marLeft w:val="0"/>
          <w:marRight w:val="0"/>
          <w:marTop w:val="0"/>
          <w:marBottom w:val="0"/>
          <w:divBdr>
            <w:top w:val="none" w:sz="0" w:space="0" w:color="auto"/>
            <w:left w:val="none" w:sz="0" w:space="0" w:color="auto"/>
            <w:bottom w:val="none" w:sz="0" w:space="0" w:color="auto"/>
            <w:right w:val="none" w:sz="0" w:space="0" w:color="auto"/>
          </w:divBdr>
        </w:div>
        <w:div w:id="598298017">
          <w:marLeft w:val="0"/>
          <w:marRight w:val="0"/>
          <w:marTop w:val="0"/>
          <w:marBottom w:val="0"/>
          <w:divBdr>
            <w:top w:val="none" w:sz="0" w:space="0" w:color="auto"/>
            <w:left w:val="none" w:sz="0" w:space="0" w:color="auto"/>
            <w:bottom w:val="none" w:sz="0" w:space="0" w:color="auto"/>
            <w:right w:val="none" w:sz="0" w:space="0" w:color="auto"/>
          </w:divBdr>
        </w:div>
      </w:divsChild>
    </w:div>
    <w:div w:id="995962798">
      <w:bodyDiv w:val="1"/>
      <w:marLeft w:val="0"/>
      <w:marRight w:val="0"/>
      <w:marTop w:val="0"/>
      <w:marBottom w:val="0"/>
      <w:divBdr>
        <w:top w:val="none" w:sz="0" w:space="0" w:color="auto"/>
        <w:left w:val="none" w:sz="0" w:space="0" w:color="auto"/>
        <w:bottom w:val="none" w:sz="0" w:space="0" w:color="auto"/>
        <w:right w:val="none" w:sz="0" w:space="0" w:color="auto"/>
      </w:divBdr>
    </w:div>
    <w:div w:id="1048531401">
      <w:bodyDiv w:val="1"/>
      <w:marLeft w:val="0"/>
      <w:marRight w:val="0"/>
      <w:marTop w:val="0"/>
      <w:marBottom w:val="0"/>
      <w:divBdr>
        <w:top w:val="none" w:sz="0" w:space="0" w:color="auto"/>
        <w:left w:val="none" w:sz="0" w:space="0" w:color="auto"/>
        <w:bottom w:val="none" w:sz="0" w:space="0" w:color="auto"/>
        <w:right w:val="none" w:sz="0" w:space="0" w:color="auto"/>
      </w:divBdr>
    </w:div>
    <w:div w:id="1165558340">
      <w:bodyDiv w:val="1"/>
      <w:marLeft w:val="0"/>
      <w:marRight w:val="0"/>
      <w:marTop w:val="0"/>
      <w:marBottom w:val="0"/>
      <w:divBdr>
        <w:top w:val="none" w:sz="0" w:space="0" w:color="auto"/>
        <w:left w:val="none" w:sz="0" w:space="0" w:color="auto"/>
        <w:bottom w:val="none" w:sz="0" w:space="0" w:color="auto"/>
        <w:right w:val="none" w:sz="0" w:space="0" w:color="auto"/>
      </w:divBdr>
    </w:div>
    <w:div w:id="1218786918">
      <w:bodyDiv w:val="1"/>
      <w:marLeft w:val="0"/>
      <w:marRight w:val="0"/>
      <w:marTop w:val="0"/>
      <w:marBottom w:val="0"/>
      <w:divBdr>
        <w:top w:val="none" w:sz="0" w:space="0" w:color="auto"/>
        <w:left w:val="none" w:sz="0" w:space="0" w:color="auto"/>
        <w:bottom w:val="none" w:sz="0" w:space="0" w:color="auto"/>
        <w:right w:val="none" w:sz="0" w:space="0" w:color="auto"/>
      </w:divBdr>
      <w:divsChild>
        <w:div w:id="1017274553">
          <w:marLeft w:val="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0"/>
              <w:marBottom w:val="0"/>
              <w:divBdr>
                <w:top w:val="none" w:sz="0" w:space="0" w:color="auto"/>
                <w:left w:val="none" w:sz="0" w:space="0" w:color="auto"/>
                <w:bottom w:val="none" w:sz="0" w:space="0" w:color="auto"/>
                <w:right w:val="none" w:sz="0" w:space="0" w:color="auto"/>
              </w:divBdr>
              <w:divsChild>
                <w:div w:id="1050499023">
                  <w:marLeft w:val="0"/>
                  <w:marRight w:val="0"/>
                  <w:marTop w:val="0"/>
                  <w:marBottom w:val="0"/>
                  <w:divBdr>
                    <w:top w:val="none" w:sz="0" w:space="0" w:color="auto"/>
                    <w:left w:val="none" w:sz="0" w:space="0" w:color="auto"/>
                    <w:bottom w:val="none" w:sz="0" w:space="0" w:color="auto"/>
                    <w:right w:val="none" w:sz="0" w:space="0" w:color="auto"/>
                  </w:divBdr>
                  <w:divsChild>
                    <w:div w:id="5256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538">
      <w:bodyDiv w:val="1"/>
      <w:marLeft w:val="0"/>
      <w:marRight w:val="0"/>
      <w:marTop w:val="0"/>
      <w:marBottom w:val="0"/>
      <w:divBdr>
        <w:top w:val="none" w:sz="0" w:space="0" w:color="auto"/>
        <w:left w:val="none" w:sz="0" w:space="0" w:color="auto"/>
        <w:bottom w:val="none" w:sz="0" w:space="0" w:color="auto"/>
        <w:right w:val="none" w:sz="0" w:space="0" w:color="auto"/>
      </w:divBdr>
    </w:div>
    <w:div w:id="1699163782">
      <w:bodyDiv w:val="1"/>
      <w:marLeft w:val="0"/>
      <w:marRight w:val="0"/>
      <w:marTop w:val="0"/>
      <w:marBottom w:val="0"/>
      <w:divBdr>
        <w:top w:val="none" w:sz="0" w:space="0" w:color="auto"/>
        <w:left w:val="none" w:sz="0" w:space="0" w:color="auto"/>
        <w:bottom w:val="none" w:sz="0" w:space="0" w:color="auto"/>
        <w:right w:val="none" w:sz="0" w:space="0" w:color="auto"/>
      </w:divBdr>
    </w:div>
    <w:div w:id="1817183288">
      <w:bodyDiv w:val="1"/>
      <w:marLeft w:val="0"/>
      <w:marRight w:val="0"/>
      <w:marTop w:val="0"/>
      <w:marBottom w:val="0"/>
      <w:divBdr>
        <w:top w:val="none" w:sz="0" w:space="0" w:color="auto"/>
        <w:left w:val="none" w:sz="0" w:space="0" w:color="auto"/>
        <w:bottom w:val="none" w:sz="0" w:space="0" w:color="auto"/>
        <w:right w:val="none" w:sz="0" w:space="0" w:color="auto"/>
      </w:divBdr>
    </w:div>
    <w:div w:id="1945380515">
      <w:bodyDiv w:val="1"/>
      <w:marLeft w:val="0"/>
      <w:marRight w:val="0"/>
      <w:marTop w:val="0"/>
      <w:marBottom w:val="0"/>
      <w:divBdr>
        <w:top w:val="none" w:sz="0" w:space="0" w:color="auto"/>
        <w:left w:val="none" w:sz="0" w:space="0" w:color="auto"/>
        <w:bottom w:val="none" w:sz="0" w:space="0" w:color="auto"/>
        <w:right w:val="none" w:sz="0" w:space="0" w:color="auto"/>
      </w:divBdr>
    </w:div>
    <w:div w:id="1953242146">
      <w:bodyDiv w:val="1"/>
      <w:marLeft w:val="0"/>
      <w:marRight w:val="0"/>
      <w:marTop w:val="0"/>
      <w:marBottom w:val="0"/>
      <w:divBdr>
        <w:top w:val="none" w:sz="0" w:space="0" w:color="auto"/>
        <w:left w:val="none" w:sz="0" w:space="0" w:color="auto"/>
        <w:bottom w:val="none" w:sz="0" w:space="0" w:color="auto"/>
        <w:right w:val="none" w:sz="0" w:space="0" w:color="auto"/>
      </w:divBdr>
      <w:divsChild>
        <w:div w:id="965433527">
          <w:marLeft w:val="0"/>
          <w:marRight w:val="0"/>
          <w:marTop w:val="0"/>
          <w:marBottom w:val="0"/>
          <w:divBdr>
            <w:top w:val="none" w:sz="0" w:space="0" w:color="auto"/>
            <w:left w:val="none" w:sz="0" w:space="0" w:color="auto"/>
            <w:bottom w:val="none" w:sz="0" w:space="0" w:color="auto"/>
            <w:right w:val="none" w:sz="0" w:space="0" w:color="auto"/>
          </w:divBdr>
          <w:divsChild>
            <w:div w:id="2129816615">
              <w:marLeft w:val="0"/>
              <w:marRight w:val="0"/>
              <w:marTop w:val="0"/>
              <w:marBottom w:val="0"/>
              <w:divBdr>
                <w:top w:val="none" w:sz="0" w:space="0" w:color="auto"/>
                <w:left w:val="none" w:sz="0" w:space="0" w:color="auto"/>
                <w:bottom w:val="none" w:sz="0" w:space="0" w:color="auto"/>
                <w:right w:val="none" w:sz="0" w:space="0" w:color="auto"/>
              </w:divBdr>
              <w:divsChild>
                <w:div w:id="2058777805">
                  <w:marLeft w:val="0"/>
                  <w:marRight w:val="0"/>
                  <w:marTop w:val="0"/>
                  <w:marBottom w:val="0"/>
                  <w:divBdr>
                    <w:top w:val="none" w:sz="0" w:space="0" w:color="auto"/>
                    <w:left w:val="none" w:sz="0" w:space="0" w:color="auto"/>
                    <w:bottom w:val="none" w:sz="0" w:space="0" w:color="auto"/>
                    <w:right w:val="none" w:sz="0" w:space="0" w:color="auto"/>
                  </w:divBdr>
                  <w:divsChild>
                    <w:div w:id="366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hgprotocol.org/land-sector-and-removals-guidance" TargetMode="External"/><Relationship Id="rId18" Type="http://schemas.openxmlformats.org/officeDocument/2006/relationships/hyperlink" Target="https://sciencebasedtargets.org/resources/files/SBTiFLAG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ciencebasedtargets.org/resources/files/SBTiFLAGMethodsAddendum.pdf" TargetMode="External"/><Relationship Id="rId7" Type="http://schemas.openxmlformats.org/officeDocument/2006/relationships/webSettings" Target="webSettings.xml"/><Relationship Id="rId12" Type="http://schemas.openxmlformats.org/officeDocument/2006/relationships/hyperlink" Target="https://ghgprotocol.org/land-sector-and-removals-guidance" TargetMode="External"/><Relationship Id="rId17" Type="http://schemas.openxmlformats.org/officeDocument/2006/relationships/hyperlink" Target="https://sciencebasedtargets.org/resources/files/SBTiFLAGGuidanc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iencebasedtargets.org/resources/files/SBTiFLAGMethodsAddendum.pdf" TargetMode="External"/><Relationship Id="rId20" Type="http://schemas.openxmlformats.org/officeDocument/2006/relationships/hyperlink" Target="https://sciencebasedtargets.org/resources/files/SBTiFLAGTool.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basedtargets.org/" TargetMode="External"/><Relationship Id="rId24" Type="http://schemas.openxmlformats.org/officeDocument/2006/relationships/image" Target="media/image3.emf"/><Relationship Id="rId5" Type="http://schemas.openxmlformats.org/officeDocument/2006/relationships/styles" Target="styles.xml"/><Relationship Id="rId15" Type="http://schemas.openxmlformats.org/officeDocument/2006/relationships/hyperlink" Target="https://sciencebasedtargets.org/resources/files/SBTiFLAGGuidance.pdf" TargetMode="External"/><Relationship Id="rId23" Type="http://schemas.openxmlformats.org/officeDocument/2006/relationships/hyperlink" Target="https://models.pbl.nl/image/index.php/Region_classification_map"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ciencebasedtargets.org/resources/files/SBTiFLA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basedtargets.org/sectors/forest-land-and-agriculture"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FA632D501FE43B02B1715DA86CAD9" ma:contentTypeVersion="16" ma:contentTypeDescription="Create a new document." ma:contentTypeScope="" ma:versionID="4c876533681f9bf0ad7b0fb50a98bf08">
  <xsd:schema xmlns:xsd="http://www.w3.org/2001/XMLSchema" xmlns:xs="http://www.w3.org/2001/XMLSchema" xmlns:p="http://schemas.microsoft.com/office/2006/metadata/properties" xmlns:ns2="c7304597-3181-4a17-9c99-7b2084b751a8" xmlns:ns3="82e0ecf7-50d2-4a90-92a4-5d1f0e64587c" targetNamespace="http://schemas.microsoft.com/office/2006/metadata/properties" ma:root="true" ma:fieldsID="d6c0f731e14e5075a15d685534349cef" ns2:_="" ns3:_="">
    <xsd:import namespace="c7304597-3181-4a17-9c99-7b2084b751a8"/>
    <xsd:import namespace="82e0ecf7-50d2-4a90-92a4-5d1f0e645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4597-3181-4a17-9c99-7b2084b7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46228-acdf-4af8-8b84-c73aa49a3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0ecf7-50d2-4a90-92a4-5d1f0e645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cfe1dc-7821-429d-8c89-ae2efbeda356}" ma:internalName="TaxCatchAll" ma:showField="CatchAllData" ma:web="82e0ecf7-50d2-4a90-92a4-5d1f0e645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e0ecf7-50d2-4a90-92a4-5d1f0e64587c" xsi:nil="true"/>
    <lcf76f155ced4ddcb4097134ff3c332f xmlns="c7304597-3181-4a17-9c99-7b2084b751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DB1280-74A9-42DB-9C7F-1DD6E394A764}"/>
</file>

<file path=customXml/itemProps2.xml><?xml version="1.0" encoding="utf-8"?>
<ds:datastoreItem xmlns:ds="http://schemas.openxmlformats.org/officeDocument/2006/customXml" ds:itemID="{843DEA86-A9FE-4492-A6AB-AB8DF75DEB89}">
  <ds:schemaRefs>
    <ds:schemaRef ds:uri="http://schemas.microsoft.com/sharepoint/v3/contenttype/forms"/>
  </ds:schemaRefs>
</ds:datastoreItem>
</file>

<file path=customXml/itemProps3.xml><?xml version="1.0" encoding="utf-8"?>
<ds:datastoreItem xmlns:ds="http://schemas.openxmlformats.org/officeDocument/2006/customXml" ds:itemID="{8A65EF90-93A1-4522-8618-5B1AD897C64F}">
  <ds:schemaRefs>
    <ds:schemaRef ds:uri="http://schemas.microsoft.com/office/2006/metadata/properties"/>
    <ds:schemaRef ds:uri="http://schemas.microsoft.com/office/infopath/2007/PartnerControls"/>
    <ds:schemaRef ds:uri="82e0ecf7-50d2-4a90-92a4-5d1f0e64587c"/>
    <ds:schemaRef ds:uri="c7304597-3181-4a17-9c99-7b2084b751a8"/>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3509</Words>
  <Characters>20005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Casolaro, Chris</cp:lastModifiedBy>
  <cp:revision>190</cp:revision>
  <cp:lastPrinted>2019-10-18T11:13:00Z</cp:lastPrinted>
  <dcterms:created xsi:type="dcterms:W3CDTF">2020-03-04T10:38:00Z</dcterms:created>
  <dcterms:modified xsi:type="dcterms:W3CDTF">2023-07-14T21:28:00Z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0x01010095DFA632D501FE43B02B1715DA86CAD9</vt:lpwstr>
  </property>
  <property fmtid="{D5CDD505-2E9C-101B-9397-08002B2CF9AE}" pid="3" name="_dlc_DocIdItemGuid">
    <vt:lpwstr>8d2205b4-4c81-471b-977f-5ef999b90108</vt:lpwstr>
  </property>
  <property fmtid="{D5CDD505-2E9C-101B-9397-08002B2CF9AE}" pid="4" name="MediaServiceImageTags">
    <vt:lpwstr/>
  </property>
</Properties>
</file>