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8AC7E" w14:textId="17C65FC9" w:rsidR="000775DD" w:rsidRPr="00ED5B1F" w:rsidRDefault="001F6E9C" w:rsidP="000C2AA5">
      <w:pPr>
        <w:widowControl/>
        <w:suppressAutoHyphens w:val="0"/>
        <w:autoSpaceDE/>
        <w:autoSpaceDN/>
        <w:adjustRightInd/>
        <w:spacing w:after="120" w:line="240" w:lineRule="auto"/>
        <w:jc w:val="center"/>
        <w:textAlignment w:val="auto"/>
        <w:rPr>
          <w:rFonts w:ascii="Calibri" w:eastAsia="Calibri" w:hAnsi="Calibri" w:cs="Calibri"/>
          <w:b/>
          <w:bCs/>
          <w:color w:val="auto"/>
          <w:sz w:val="32"/>
          <w:szCs w:val="32"/>
          <w:lang w:val="en-US" w:eastAsia="en-US"/>
        </w:rPr>
      </w:pPr>
      <w:bookmarkStart w:id="0" w:name="_Toc473550124"/>
      <w:proofErr w:type="spellStart"/>
      <w:r w:rsidRPr="00ED5B1F">
        <w:rPr>
          <w:rFonts w:ascii="Calibri" w:hAnsi="Calibri" w:cs="Calibri"/>
          <w:b/>
          <w:bCs/>
          <w:sz w:val="32"/>
          <w:szCs w:val="32"/>
          <w:lang w:val="en-US"/>
        </w:rPr>
        <w:t>Bonsucro</w:t>
      </w:r>
      <w:proofErr w:type="spellEnd"/>
      <w:r w:rsidRPr="00ED5B1F">
        <w:rPr>
          <w:rFonts w:ascii="Calibri" w:hAnsi="Calibri" w:cs="Calibri"/>
          <w:b/>
          <w:bCs/>
          <w:sz w:val="32"/>
          <w:szCs w:val="32"/>
          <w:lang w:val="en-US"/>
        </w:rPr>
        <w:t xml:space="preserve"> Sugarcane </w:t>
      </w:r>
      <w:r w:rsidR="006F38A2" w:rsidRPr="00ED5B1F">
        <w:rPr>
          <w:rFonts w:ascii="Calibri" w:hAnsi="Calibri" w:cs="Calibri"/>
          <w:b/>
          <w:bCs/>
          <w:sz w:val="32"/>
          <w:szCs w:val="32"/>
          <w:lang w:val="en-US"/>
        </w:rPr>
        <w:t>Pathway:</w:t>
      </w:r>
      <w:r w:rsidR="0091177F" w:rsidRPr="00ED5B1F">
        <w:rPr>
          <w:rFonts w:ascii="Calibri" w:hAnsi="Calibri" w:cs="Calibri"/>
          <w:b/>
          <w:bCs/>
          <w:sz w:val="32"/>
          <w:szCs w:val="32"/>
          <w:lang w:val="en-US"/>
        </w:rPr>
        <w:t xml:space="preserve"> </w:t>
      </w:r>
      <w:r w:rsidRPr="00ED5B1F">
        <w:rPr>
          <w:rFonts w:ascii="Calibri" w:hAnsi="Calibri" w:cs="Calibri"/>
          <w:b/>
          <w:bCs/>
          <w:sz w:val="32"/>
          <w:szCs w:val="32"/>
          <w:lang w:val="en-US"/>
        </w:rPr>
        <w:t xml:space="preserve">creating a collective pathway for GHG mitigation by establishing science-based targets in the </w:t>
      </w:r>
      <w:r w:rsidRPr="00ED5B1F">
        <w:rPr>
          <w:rFonts w:ascii="Calibri" w:eastAsia="Calibri" w:hAnsi="Calibri" w:cs="Calibri"/>
          <w:b/>
          <w:bCs/>
          <w:color w:val="auto"/>
          <w:sz w:val="32"/>
          <w:szCs w:val="32"/>
          <w:lang w:val="en-US" w:eastAsia="en-US"/>
        </w:rPr>
        <w:t xml:space="preserve">sugarcane </w:t>
      </w:r>
      <w:proofErr w:type="gramStart"/>
      <w:r w:rsidRPr="00ED5B1F">
        <w:rPr>
          <w:rFonts w:ascii="Calibri" w:eastAsia="Calibri" w:hAnsi="Calibri" w:cs="Calibri"/>
          <w:b/>
          <w:bCs/>
          <w:color w:val="auto"/>
          <w:sz w:val="32"/>
          <w:szCs w:val="32"/>
          <w:lang w:val="en-US" w:eastAsia="en-US"/>
        </w:rPr>
        <w:t>sector</w:t>
      </w:r>
      <w:proofErr w:type="gramEnd"/>
    </w:p>
    <w:p w14:paraId="2408BE96" w14:textId="77777777" w:rsidR="001F6E9C" w:rsidRPr="00ED5B1F" w:rsidRDefault="001F6E9C" w:rsidP="000C2AA5">
      <w:pPr>
        <w:widowControl/>
        <w:suppressAutoHyphens w:val="0"/>
        <w:autoSpaceDE/>
        <w:autoSpaceDN/>
        <w:adjustRightInd/>
        <w:spacing w:after="120" w:line="240" w:lineRule="auto"/>
        <w:jc w:val="center"/>
        <w:textAlignment w:val="auto"/>
        <w:rPr>
          <w:rFonts w:ascii="Calibri" w:eastAsia="Calibri" w:hAnsi="Calibri" w:cs="Calibri"/>
          <w:b/>
          <w:bCs/>
          <w:color w:val="auto"/>
          <w:sz w:val="32"/>
          <w:szCs w:val="32"/>
          <w:lang w:val="en-US" w:eastAsia="en-US"/>
        </w:rPr>
      </w:pPr>
    </w:p>
    <w:bookmarkEnd w:id="0"/>
    <w:p w14:paraId="7AFD6D93" w14:textId="77777777" w:rsidR="008629A3" w:rsidRPr="00ED5B1F" w:rsidRDefault="008629A3" w:rsidP="008629A3">
      <w:pPr>
        <w:spacing w:line="240" w:lineRule="auto"/>
        <w:jc w:val="center"/>
        <w:rPr>
          <w:rFonts w:ascii="Calibri" w:hAnsi="Calibri" w:cs="Calibri"/>
          <w:b/>
          <w:bCs/>
          <w:sz w:val="32"/>
          <w:szCs w:val="32"/>
          <w:lang w:val="en-US"/>
        </w:rPr>
      </w:pPr>
      <w:r w:rsidRPr="00ED5B1F">
        <w:rPr>
          <w:rFonts w:ascii="Calibri" w:hAnsi="Calibri" w:cs="Calibri"/>
          <w:b/>
          <w:bCs/>
          <w:sz w:val="32"/>
          <w:szCs w:val="32"/>
        </w:rPr>
        <w:t>DRAFT TARGET-SETTING GUIDE</w:t>
      </w:r>
    </w:p>
    <w:p w14:paraId="27314507" w14:textId="77777777" w:rsidR="008629A3" w:rsidRPr="00ED5B1F" w:rsidRDefault="008629A3" w:rsidP="008629A3">
      <w:pPr>
        <w:rPr>
          <w:rFonts w:ascii="Calibri" w:hAnsi="Calibri" w:cs="Calibri"/>
          <w:b/>
          <w:color w:val="E5004B"/>
          <w:sz w:val="36"/>
          <w:szCs w:val="36"/>
          <w:lang w:val="en-US"/>
        </w:rPr>
      </w:pPr>
    </w:p>
    <w:p w14:paraId="1B0414CB" w14:textId="347D4BFB" w:rsidR="008629A3" w:rsidRPr="00ED5B1F" w:rsidRDefault="008629A3" w:rsidP="008629A3">
      <w:pPr>
        <w:widowControl/>
        <w:suppressAutoHyphens w:val="0"/>
        <w:autoSpaceDE/>
        <w:autoSpaceDN/>
        <w:adjustRightInd/>
        <w:spacing w:after="120" w:line="288" w:lineRule="auto"/>
        <w:jc w:val="both"/>
        <w:textAlignment w:val="auto"/>
        <w:rPr>
          <w:rFonts w:ascii="Calibri" w:eastAsia="Calibri" w:hAnsi="Calibri" w:cs="Calibri"/>
          <w:color w:val="6A5E5A"/>
          <w:sz w:val="28"/>
          <w:szCs w:val="28"/>
          <w:lang w:val="en-US" w:eastAsia="en-US"/>
        </w:rPr>
      </w:pPr>
      <w:r w:rsidRPr="00ED5B1F">
        <w:rPr>
          <w:rFonts w:ascii="Calibri" w:eastAsia="Calibri" w:hAnsi="Calibri" w:cs="Calibri"/>
          <w:color w:val="6A5E5A"/>
          <w:sz w:val="28"/>
          <w:szCs w:val="28"/>
          <w:lang w:val="en-US" w:eastAsia="en-US"/>
        </w:rPr>
        <w:t>Context</w:t>
      </w:r>
    </w:p>
    <w:p w14:paraId="5E1A95C8" w14:textId="645304CF" w:rsidR="008629A3" w:rsidRPr="00ED5B1F"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Once you have established a baseline of your company’s corporate carbon footprint with the </w:t>
      </w:r>
      <w:proofErr w:type="spellStart"/>
      <w:r w:rsidR="00B1521A">
        <w:rPr>
          <w:rFonts w:ascii="Calibri" w:hAnsi="Calibri" w:cs="Calibri"/>
          <w:sz w:val="24"/>
          <w:szCs w:val="24"/>
          <w:highlight w:val="white"/>
        </w:rPr>
        <w:t>Bonsucro</w:t>
      </w:r>
      <w:proofErr w:type="spellEnd"/>
      <w:r w:rsidR="00B1521A">
        <w:rPr>
          <w:rFonts w:ascii="Calibri" w:hAnsi="Calibri" w:cs="Calibri"/>
          <w:sz w:val="24"/>
          <w:szCs w:val="24"/>
          <w:highlight w:val="white"/>
        </w:rPr>
        <w:t xml:space="preserve"> C</w:t>
      </w:r>
      <w:r w:rsidRPr="00ED5B1F">
        <w:rPr>
          <w:rFonts w:ascii="Calibri" w:hAnsi="Calibri" w:cs="Calibri"/>
          <w:sz w:val="24"/>
          <w:szCs w:val="24"/>
          <w:highlight w:val="white"/>
        </w:rPr>
        <w:t>alculator</w:t>
      </w:r>
      <w:r w:rsidR="00B1521A">
        <w:rPr>
          <w:rFonts w:ascii="Calibri" w:hAnsi="Calibri" w:cs="Calibri"/>
          <w:sz w:val="24"/>
          <w:szCs w:val="24"/>
          <w:highlight w:val="white"/>
        </w:rPr>
        <w:t xml:space="preserve"> or other carbon accounting scheme,</w:t>
      </w:r>
      <w:r w:rsidRPr="00ED5B1F">
        <w:rPr>
          <w:rFonts w:ascii="Calibri" w:hAnsi="Calibri" w:cs="Calibri"/>
          <w:sz w:val="24"/>
          <w:szCs w:val="24"/>
          <w:highlight w:val="white"/>
        </w:rPr>
        <w:t xml:space="preserve"> you can utilize the “Sugarcane </w:t>
      </w:r>
      <w:r w:rsidR="00B1521A">
        <w:rPr>
          <w:rFonts w:ascii="Calibri" w:hAnsi="Calibri" w:cs="Calibri"/>
          <w:sz w:val="24"/>
          <w:szCs w:val="24"/>
          <w:highlight w:val="white"/>
        </w:rPr>
        <w:t>Target-setting</w:t>
      </w:r>
      <w:r w:rsidRPr="00ED5B1F">
        <w:rPr>
          <w:rFonts w:ascii="Calibri" w:hAnsi="Calibri" w:cs="Calibri"/>
          <w:sz w:val="24"/>
          <w:szCs w:val="24"/>
          <w:highlight w:val="white"/>
        </w:rPr>
        <w:t xml:space="preserve"> Tool” to establish a goal for reducing emissions, specifically from the production of sugarcane. </w:t>
      </w:r>
    </w:p>
    <w:p w14:paraId="3CF0FD76" w14:textId="1031F8F9" w:rsidR="008629A3" w:rsidRPr="00ED5B1F"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The reduction pathway and goals generated by the tool will allow your organization to establish a reputable climate change goal. Alternatively, the tool is available with default values for users who have not completed a GHG inventory using the </w:t>
      </w:r>
      <w:proofErr w:type="spellStart"/>
      <w:r w:rsidRPr="00ED5B1F">
        <w:rPr>
          <w:rFonts w:ascii="Calibri" w:hAnsi="Calibri" w:cs="Calibri"/>
          <w:sz w:val="24"/>
          <w:szCs w:val="24"/>
          <w:highlight w:val="white"/>
        </w:rPr>
        <w:t>Bonsucro</w:t>
      </w:r>
      <w:proofErr w:type="spellEnd"/>
      <w:r w:rsidRPr="00ED5B1F">
        <w:rPr>
          <w:rFonts w:ascii="Calibri" w:hAnsi="Calibri" w:cs="Calibri"/>
          <w:sz w:val="24"/>
          <w:szCs w:val="24"/>
          <w:highlight w:val="white"/>
        </w:rPr>
        <w:t xml:space="preserve"> </w:t>
      </w:r>
      <w:r w:rsidR="00EB69C1">
        <w:rPr>
          <w:rFonts w:ascii="Calibri" w:hAnsi="Calibri" w:cs="Calibri"/>
          <w:sz w:val="24"/>
          <w:szCs w:val="24"/>
          <w:highlight w:val="white"/>
        </w:rPr>
        <w:t>C</w:t>
      </w:r>
      <w:r w:rsidRPr="00ED5B1F">
        <w:rPr>
          <w:rFonts w:ascii="Calibri" w:hAnsi="Calibri" w:cs="Calibri"/>
          <w:sz w:val="24"/>
          <w:szCs w:val="24"/>
          <w:highlight w:val="white"/>
        </w:rPr>
        <w:t>alculator</w:t>
      </w:r>
      <w:r w:rsidR="008322CF">
        <w:rPr>
          <w:rFonts w:ascii="Calibri" w:hAnsi="Calibri" w:cs="Calibri"/>
          <w:sz w:val="24"/>
          <w:szCs w:val="24"/>
          <w:highlight w:val="white"/>
        </w:rPr>
        <w:t xml:space="preserve"> or other carbon accounting scheme</w:t>
      </w:r>
      <w:r w:rsidRPr="00ED5B1F">
        <w:rPr>
          <w:rFonts w:ascii="Calibri" w:hAnsi="Calibri" w:cs="Calibri"/>
          <w:sz w:val="24"/>
          <w:szCs w:val="24"/>
          <w:highlight w:val="white"/>
        </w:rPr>
        <w:t>.</w:t>
      </w:r>
    </w:p>
    <w:p w14:paraId="04386F9D" w14:textId="77777777" w:rsidR="008629A3" w:rsidRPr="00ED5B1F" w:rsidRDefault="008629A3" w:rsidP="008629A3">
      <w:pPr>
        <w:pBdr>
          <w:top w:val="nil"/>
          <w:left w:val="nil"/>
          <w:bottom w:val="nil"/>
          <w:right w:val="nil"/>
          <w:between w:val="nil"/>
        </w:pBdr>
        <w:spacing w:line="240" w:lineRule="auto"/>
        <w:rPr>
          <w:rFonts w:ascii="Calibri" w:hAnsi="Calibri" w:cs="Calibri"/>
          <w:color w:val="000000"/>
          <w:sz w:val="28"/>
          <w:szCs w:val="28"/>
          <w:highlight w:val="white"/>
        </w:rPr>
      </w:pPr>
    </w:p>
    <w:p w14:paraId="041E820D" w14:textId="77777777" w:rsidR="008629A3" w:rsidRPr="00ED5B1F" w:rsidRDefault="008629A3" w:rsidP="008629A3">
      <w:pPr>
        <w:spacing w:line="240" w:lineRule="auto"/>
        <w:rPr>
          <w:rFonts w:ascii="Calibri" w:hAnsi="Calibri" w:cs="Calibri"/>
          <w:color w:val="6A5E5A"/>
          <w:sz w:val="28"/>
          <w:szCs w:val="28"/>
        </w:rPr>
      </w:pPr>
      <w:bookmarkStart w:id="1" w:name="_heading=h.30j0zll" w:colFirst="0" w:colLast="0"/>
      <w:bookmarkEnd w:id="1"/>
      <w:r w:rsidRPr="00ED5B1F">
        <w:rPr>
          <w:rFonts w:ascii="Calibri" w:hAnsi="Calibri" w:cs="Calibri"/>
          <w:color w:val="6A5E5A"/>
          <w:sz w:val="28"/>
          <w:szCs w:val="28"/>
        </w:rPr>
        <w:t xml:space="preserve">What is the science-based target initiative? </w:t>
      </w:r>
    </w:p>
    <w:p w14:paraId="216FE00D" w14:textId="77777777" w:rsidR="008629A3" w:rsidRPr="00ED5B1F" w:rsidRDefault="008629A3" w:rsidP="008629A3">
      <w:pPr>
        <w:spacing w:line="240" w:lineRule="auto"/>
        <w:rPr>
          <w:rFonts w:ascii="Calibri" w:hAnsi="Calibri" w:cs="Calibri"/>
          <w:color w:val="6A5E5A"/>
          <w:sz w:val="24"/>
          <w:szCs w:val="24"/>
        </w:rPr>
      </w:pPr>
    </w:p>
    <w:p w14:paraId="5BF31675" w14:textId="77777777"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The Science Based Target Initiative (SBTi) is a leading initiative that provides a technical framework and guidance for companies to reduce their greenhouse gas (GHG) emissions, helping prevent the worst impacts of climate change and future-proof business growth. Targets are considered ‘science-based’ if they are in line with what the latest climate science deems necessary to meet the goals of the Paris Agreement – limiting global warming to well below 2°C above pre-industrial levels and pursuing efforts to limit warming to 1.5°C. A science-based target is a paradigm shift for most companies. The goal is not about how much GHG emissions reduction you think you can achieve but how much you need to achieve to prevent the worst effects of climate change.</w:t>
      </w:r>
    </w:p>
    <w:p w14:paraId="17B16823" w14:textId="77777777" w:rsidR="008629A3" w:rsidRPr="00ED5B1F" w:rsidRDefault="008629A3" w:rsidP="00853BD4">
      <w:pPr>
        <w:spacing w:line="240" w:lineRule="auto"/>
        <w:jc w:val="both"/>
        <w:rPr>
          <w:rFonts w:ascii="Calibri" w:hAnsi="Calibri" w:cs="Calibri"/>
          <w:sz w:val="24"/>
          <w:szCs w:val="24"/>
          <w:highlight w:val="white"/>
        </w:rPr>
      </w:pPr>
    </w:p>
    <w:p w14:paraId="0BF4D432" w14:textId="77777777"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SBTi was launched in 2015 by the Carbon Disclosure Project (CDP), the UN Global Compact, the World Resources Institute (WRI), and the World Wildlife Fund (WWF) and is generally considered a robust standard for establishing corporate climate targets. As of May 2023, there were over 5,000 companies </w:t>
      </w:r>
      <w:proofErr w:type="gramStart"/>
      <w:r w:rsidRPr="00ED5B1F">
        <w:rPr>
          <w:rFonts w:ascii="Calibri" w:hAnsi="Calibri" w:cs="Calibri"/>
          <w:sz w:val="24"/>
          <w:szCs w:val="24"/>
          <w:highlight w:val="white"/>
        </w:rPr>
        <w:t>taking action</w:t>
      </w:r>
      <w:proofErr w:type="gramEnd"/>
      <w:r w:rsidRPr="00ED5B1F">
        <w:rPr>
          <w:rFonts w:ascii="Calibri" w:hAnsi="Calibri" w:cs="Calibri"/>
          <w:sz w:val="24"/>
          <w:szCs w:val="24"/>
          <w:highlight w:val="white"/>
        </w:rPr>
        <w:t xml:space="preserve"> with the initiative, which typically involves five key steps:  </w:t>
      </w:r>
    </w:p>
    <w:p w14:paraId="4A7D2E99" w14:textId="77777777" w:rsidR="008629A3" w:rsidRPr="00ED5B1F" w:rsidRDefault="008629A3" w:rsidP="008629A3">
      <w:pPr>
        <w:spacing w:line="240" w:lineRule="auto"/>
        <w:rPr>
          <w:rFonts w:ascii="Calibri" w:hAnsi="Calibri" w:cs="Calibri"/>
          <w:sz w:val="24"/>
          <w:szCs w:val="24"/>
          <w:highlight w:val="white"/>
        </w:rPr>
      </w:pPr>
    </w:p>
    <w:p w14:paraId="3F717268" w14:textId="77777777" w:rsidR="008629A3" w:rsidRPr="00ED5B1F" w:rsidRDefault="008629A3" w:rsidP="008629A3">
      <w:pPr>
        <w:spacing w:line="240" w:lineRule="auto"/>
        <w:rPr>
          <w:rFonts w:ascii="Calibri" w:hAnsi="Calibri" w:cs="Calibri"/>
          <w:sz w:val="24"/>
          <w:szCs w:val="24"/>
        </w:rPr>
      </w:pPr>
      <w:r w:rsidRPr="00ED5B1F">
        <w:rPr>
          <w:rFonts w:ascii="Calibri" w:hAnsi="Calibri" w:cs="Calibri"/>
          <w:noProof/>
          <w:sz w:val="24"/>
          <w:szCs w:val="24"/>
        </w:rPr>
        <w:lastRenderedPageBreak/>
        <w:drawing>
          <wp:inline distT="0" distB="0" distL="0" distR="0" wp14:anchorId="44D8DC19" wp14:editId="4E808BAA">
            <wp:extent cx="5749811" cy="2057400"/>
            <wp:effectExtent l="0" t="0" r="0" b="0"/>
            <wp:docPr id="1692091606" name="image6.png" descr="Interface gráfica do usuário, Aplicativo, Teams&#10;&#10;Descrição gerada automaticamente"/>
            <wp:cNvGraphicFramePr/>
            <a:graphic xmlns:a="http://schemas.openxmlformats.org/drawingml/2006/main">
              <a:graphicData uri="http://schemas.openxmlformats.org/drawingml/2006/picture">
                <pic:pic xmlns:pic="http://schemas.openxmlformats.org/drawingml/2006/picture">
                  <pic:nvPicPr>
                    <pic:cNvPr id="1692091606" name="image6.png" descr="Interface gráfica do usuário, Aplicativo, Teams&#10;&#10;Descrição gerada automaticamente"/>
                    <pic:cNvPicPr preferRelativeResize="0"/>
                  </pic:nvPicPr>
                  <pic:blipFill>
                    <a:blip r:embed="rId10"/>
                    <a:srcRect/>
                    <a:stretch>
                      <a:fillRect/>
                    </a:stretch>
                  </pic:blipFill>
                  <pic:spPr>
                    <a:xfrm>
                      <a:off x="0" y="0"/>
                      <a:ext cx="5749811" cy="2057400"/>
                    </a:xfrm>
                    <a:prstGeom prst="rect">
                      <a:avLst/>
                    </a:prstGeom>
                    <a:ln/>
                  </pic:spPr>
                </pic:pic>
              </a:graphicData>
            </a:graphic>
          </wp:inline>
        </w:drawing>
      </w:r>
    </w:p>
    <w:p w14:paraId="7E3EDCEA" w14:textId="77777777" w:rsidR="008629A3"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SBTi standards and criteria for developing targets are freely available to the public, however in order to have a target officially validated by SBTi as “science-based” the criteria and process must be followed closely, and a fee is required for an official review. </w:t>
      </w:r>
    </w:p>
    <w:p w14:paraId="5452700F" w14:textId="77777777" w:rsidR="00424E5F" w:rsidRPr="00ED5B1F" w:rsidRDefault="00424E5F" w:rsidP="00853BD4">
      <w:pPr>
        <w:pBdr>
          <w:top w:val="nil"/>
          <w:left w:val="nil"/>
          <w:bottom w:val="nil"/>
          <w:right w:val="nil"/>
          <w:between w:val="nil"/>
        </w:pBdr>
        <w:spacing w:line="240" w:lineRule="auto"/>
        <w:jc w:val="both"/>
        <w:rPr>
          <w:rFonts w:ascii="Calibri" w:hAnsi="Calibri" w:cs="Calibri"/>
          <w:sz w:val="24"/>
          <w:szCs w:val="24"/>
          <w:highlight w:val="white"/>
        </w:rPr>
      </w:pPr>
    </w:p>
    <w:p w14:paraId="4CADF4BE" w14:textId="77777777" w:rsidR="008629A3"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This guide reviews the SBTi standards at a high level and principally focuses on </w:t>
      </w:r>
      <w:proofErr w:type="spellStart"/>
      <w:r w:rsidRPr="00ED5B1F">
        <w:rPr>
          <w:rFonts w:ascii="Calibri" w:hAnsi="Calibri" w:cs="Calibri"/>
          <w:sz w:val="24"/>
          <w:szCs w:val="24"/>
          <w:highlight w:val="white"/>
        </w:rPr>
        <w:t>Bonsucro’s</w:t>
      </w:r>
      <w:proofErr w:type="spellEnd"/>
      <w:r w:rsidRPr="00ED5B1F">
        <w:rPr>
          <w:rFonts w:ascii="Calibri" w:hAnsi="Calibri" w:cs="Calibri"/>
          <w:sz w:val="24"/>
          <w:szCs w:val="24"/>
          <w:highlight w:val="white"/>
        </w:rPr>
        <w:t xml:space="preserve"> unique tool for setting sugarcane reduction targets aligned with SBTi. </w:t>
      </w:r>
    </w:p>
    <w:p w14:paraId="494C5D51" w14:textId="77777777" w:rsidR="00920B18" w:rsidRPr="00ED5B1F" w:rsidRDefault="00920B18" w:rsidP="00853BD4">
      <w:pPr>
        <w:pBdr>
          <w:top w:val="nil"/>
          <w:left w:val="nil"/>
          <w:bottom w:val="nil"/>
          <w:right w:val="nil"/>
          <w:between w:val="nil"/>
        </w:pBdr>
        <w:spacing w:line="240" w:lineRule="auto"/>
        <w:jc w:val="both"/>
        <w:rPr>
          <w:rFonts w:ascii="Calibri" w:hAnsi="Calibri" w:cs="Calibri"/>
          <w:sz w:val="24"/>
          <w:szCs w:val="24"/>
          <w:highlight w:val="white"/>
        </w:rPr>
      </w:pPr>
    </w:p>
    <w:p w14:paraId="4893010D" w14:textId="77777777" w:rsidR="008629A3" w:rsidRPr="00ED5B1F" w:rsidRDefault="008629A3" w:rsidP="00853BD4">
      <w:pPr>
        <w:pBdr>
          <w:top w:val="nil"/>
          <w:left w:val="nil"/>
          <w:bottom w:val="nil"/>
          <w:right w:val="nil"/>
          <w:between w:val="nil"/>
        </w:pBdr>
        <w:spacing w:line="240" w:lineRule="auto"/>
        <w:jc w:val="both"/>
        <w:rPr>
          <w:rFonts w:ascii="Calibri" w:hAnsi="Calibri" w:cs="Calibri"/>
          <w:color w:val="000000"/>
          <w:sz w:val="24"/>
          <w:szCs w:val="24"/>
          <w:highlight w:val="white"/>
        </w:rPr>
      </w:pPr>
      <w:r w:rsidRPr="00ED5B1F">
        <w:rPr>
          <w:rFonts w:ascii="Calibri" w:hAnsi="Calibri" w:cs="Calibri"/>
          <w:sz w:val="24"/>
          <w:szCs w:val="24"/>
          <w:highlight w:val="white"/>
        </w:rPr>
        <w:t>If your organization requires official validation, we strongly encourage you to review the latest standards on the</w:t>
      </w:r>
      <w:r w:rsidRPr="00ED5B1F">
        <w:rPr>
          <w:rFonts w:ascii="Calibri" w:hAnsi="Calibri" w:cs="Calibri"/>
          <w:color w:val="000000"/>
          <w:sz w:val="24"/>
          <w:szCs w:val="24"/>
          <w:highlight w:val="white"/>
        </w:rPr>
        <w:t xml:space="preserve"> </w:t>
      </w:r>
      <w:hyperlink r:id="rId11">
        <w:r w:rsidRPr="00ED5B1F">
          <w:rPr>
            <w:rFonts w:ascii="Calibri" w:hAnsi="Calibri" w:cs="Calibri"/>
            <w:color w:val="1155CC"/>
            <w:sz w:val="24"/>
            <w:szCs w:val="24"/>
            <w:u w:val="single"/>
          </w:rPr>
          <w:t>SBTi website</w:t>
        </w:r>
      </w:hyperlink>
      <w:r w:rsidRPr="00ED5B1F">
        <w:rPr>
          <w:rFonts w:ascii="Calibri" w:hAnsi="Calibri" w:cs="Calibri"/>
          <w:color w:val="202124"/>
          <w:sz w:val="24"/>
          <w:szCs w:val="24"/>
        </w:rPr>
        <w:t>.</w:t>
      </w:r>
    </w:p>
    <w:p w14:paraId="0A91679D" w14:textId="7DD17E1F" w:rsidR="008629A3" w:rsidRPr="00ED5B1F" w:rsidRDefault="008629A3" w:rsidP="008629A3">
      <w:pPr>
        <w:keepNext/>
        <w:keepLines/>
        <w:widowControl/>
        <w:numPr>
          <w:ilvl w:val="0"/>
          <w:numId w:val="13"/>
        </w:numPr>
        <w:suppressAutoHyphens w:val="0"/>
        <w:autoSpaceDE/>
        <w:autoSpaceDN/>
        <w:adjustRightInd/>
        <w:spacing w:before="480" w:after="240" w:line="288" w:lineRule="auto"/>
        <w:jc w:val="both"/>
        <w:textAlignment w:val="auto"/>
        <w:outlineLvl w:val="1"/>
        <w:rPr>
          <w:rFonts w:ascii="Calibri" w:hAnsi="Calibri" w:cs="Calibri"/>
          <w:color w:val="6A5E5A"/>
          <w:sz w:val="28"/>
          <w:szCs w:val="28"/>
          <w:lang w:val="en-US" w:eastAsia="en-US"/>
        </w:rPr>
      </w:pPr>
      <w:r w:rsidRPr="00ED5B1F">
        <w:rPr>
          <w:rFonts w:ascii="Calibri" w:hAnsi="Calibri" w:cs="Calibri"/>
          <w:color w:val="6A5E5A"/>
          <w:sz w:val="28"/>
          <w:szCs w:val="28"/>
          <w:lang w:val="en-US" w:eastAsia="en-US"/>
        </w:rPr>
        <w:t>Requirements for setting science-based targets</w:t>
      </w:r>
    </w:p>
    <w:p w14:paraId="66C4CA86" w14:textId="1E24E931"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For official validation, at minimum, companies that buy or supply sugarcane are required to set three separate science-based targets to reduce emissions</w:t>
      </w:r>
      <w:r w:rsidR="00B33EB3">
        <w:rPr>
          <w:rFonts w:ascii="Calibri" w:hAnsi="Calibri" w:cs="Calibri"/>
          <w:sz w:val="24"/>
          <w:szCs w:val="24"/>
          <w:highlight w:val="white"/>
        </w:rPr>
        <w:t>,</w:t>
      </w:r>
      <w:r w:rsidRPr="00ED5B1F">
        <w:rPr>
          <w:rFonts w:ascii="Calibri" w:hAnsi="Calibri" w:cs="Calibri"/>
          <w:sz w:val="24"/>
          <w:szCs w:val="24"/>
          <w:highlight w:val="white"/>
        </w:rPr>
        <w:t xml:space="preserve"> </w:t>
      </w:r>
      <w:proofErr w:type="gramStart"/>
      <w:r w:rsidRPr="00ED5B1F">
        <w:rPr>
          <w:rFonts w:ascii="Calibri" w:hAnsi="Calibri" w:cs="Calibri"/>
          <w:sz w:val="24"/>
          <w:szCs w:val="24"/>
          <w:highlight w:val="white"/>
        </w:rPr>
        <w:t>including;</w:t>
      </w:r>
      <w:proofErr w:type="gramEnd"/>
      <w:r w:rsidRPr="00ED5B1F">
        <w:rPr>
          <w:rFonts w:ascii="Calibri" w:hAnsi="Calibri" w:cs="Calibri"/>
          <w:sz w:val="24"/>
          <w:szCs w:val="24"/>
          <w:highlight w:val="white"/>
        </w:rPr>
        <w:t xml:space="preserve"> </w:t>
      </w:r>
    </w:p>
    <w:p w14:paraId="269A517F" w14:textId="77777777" w:rsidR="008629A3" w:rsidRPr="00ED5B1F" w:rsidRDefault="008629A3" w:rsidP="00853BD4">
      <w:pPr>
        <w:spacing w:line="240" w:lineRule="auto"/>
        <w:jc w:val="both"/>
        <w:rPr>
          <w:rFonts w:ascii="Calibri" w:hAnsi="Calibri" w:cs="Calibri"/>
          <w:sz w:val="24"/>
          <w:szCs w:val="24"/>
          <w:highlight w:val="white"/>
        </w:rPr>
      </w:pPr>
    </w:p>
    <w:p w14:paraId="09352E50" w14:textId="77777777" w:rsidR="008629A3" w:rsidRPr="00ED5B1F" w:rsidRDefault="008629A3" w:rsidP="00853BD4">
      <w:pPr>
        <w:widowControl/>
        <w:numPr>
          <w:ilvl w:val="0"/>
          <w:numId w:val="12"/>
        </w:numPr>
        <w:suppressAutoHyphens w:val="0"/>
        <w:autoSpaceDE/>
        <w:autoSpaceDN/>
        <w:adjustRightInd/>
        <w:spacing w:line="240" w:lineRule="auto"/>
        <w:jc w:val="both"/>
        <w:textAlignment w:val="auto"/>
        <w:rPr>
          <w:rFonts w:ascii="Calibri" w:hAnsi="Calibri" w:cs="Calibri"/>
          <w:sz w:val="24"/>
          <w:szCs w:val="24"/>
          <w:highlight w:val="white"/>
        </w:rPr>
      </w:pPr>
      <w:r w:rsidRPr="00ED5B1F">
        <w:rPr>
          <w:rFonts w:ascii="Calibri" w:hAnsi="Calibri" w:cs="Calibri"/>
          <w:b/>
          <w:sz w:val="24"/>
          <w:szCs w:val="24"/>
          <w:highlight w:val="white"/>
        </w:rPr>
        <w:t>Scope 1 &amp; 2.</w:t>
      </w:r>
      <w:r w:rsidRPr="00ED5B1F">
        <w:rPr>
          <w:rFonts w:ascii="Calibri" w:hAnsi="Calibri" w:cs="Calibri"/>
          <w:sz w:val="24"/>
          <w:szCs w:val="24"/>
          <w:highlight w:val="white"/>
        </w:rPr>
        <w:t xml:space="preserve"> Scope 1 and 2 emissions reduction target that addresses emissions from activities like natural gas and electricity use in owned manufacturing facilities. </w:t>
      </w:r>
    </w:p>
    <w:p w14:paraId="583E56E1" w14:textId="77777777" w:rsidR="008629A3" w:rsidRPr="00ED5B1F" w:rsidRDefault="008629A3" w:rsidP="00853BD4">
      <w:pPr>
        <w:widowControl/>
        <w:numPr>
          <w:ilvl w:val="0"/>
          <w:numId w:val="12"/>
        </w:numPr>
        <w:suppressAutoHyphens w:val="0"/>
        <w:autoSpaceDE/>
        <w:autoSpaceDN/>
        <w:adjustRightInd/>
        <w:spacing w:line="240" w:lineRule="auto"/>
        <w:jc w:val="both"/>
        <w:textAlignment w:val="auto"/>
        <w:rPr>
          <w:rFonts w:ascii="Calibri" w:hAnsi="Calibri" w:cs="Calibri"/>
          <w:sz w:val="24"/>
          <w:szCs w:val="24"/>
          <w:highlight w:val="white"/>
        </w:rPr>
      </w:pPr>
      <w:r w:rsidRPr="00ED5B1F">
        <w:rPr>
          <w:rFonts w:ascii="Calibri" w:hAnsi="Calibri" w:cs="Calibri"/>
          <w:b/>
          <w:sz w:val="24"/>
          <w:szCs w:val="24"/>
          <w:highlight w:val="white"/>
        </w:rPr>
        <w:t>Scope 3.</w:t>
      </w:r>
      <w:r w:rsidRPr="00ED5B1F">
        <w:rPr>
          <w:rFonts w:ascii="Calibri" w:hAnsi="Calibri" w:cs="Calibri"/>
          <w:sz w:val="24"/>
          <w:szCs w:val="24"/>
          <w:highlight w:val="white"/>
        </w:rPr>
        <w:t xml:space="preserve"> A scope 3 reduction target that addresses emissions from activities like product transport, waste, and indirect emissions from commuting or business travel. This goal can be combined with scope 1 and 2 in an overall target but is often separate. </w:t>
      </w:r>
    </w:p>
    <w:p w14:paraId="6A97C8D5" w14:textId="77777777" w:rsidR="008629A3" w:rsidRPr="00ED5B1F" w:rsidRDefault="008629A3" w:rsidP="00853BD4">
      <w:pPr>
        <w:widowControl/>
        <w:numPr>
          <w:ilvl w:val="0"/>
          <w:numId w:val="12"/>
        </w:numPr>
        <w:suppressAutoHyphens w:val="0"/>
        <w:autoSpaceDE/>
        <w:autoSpaceDN/>
        <w:adjustRightInd/>
        <w:spacing w:line="240" w:lineRule="auto"/>
        <w:jc w:val="both"/>
        <w:textAlignment w:val="auto"/>
        <w:rPr>
          <w:rFonts w:ascii="Calibri" w:hAnsi="Calibri" w:cs="Calibri"/>
          <w:sz w:val="24"/>
          <w:szCs w:val="24"/>
          <w:highlight w:val="white"/>
        </w:rPr>
      </w:pPr>
      <w:r w:rsidRPr="00ED5B1F">
        <w:rPr>
          <w:rFonts w:ascii="Calibri" w:hAnsi="Calibri" w:cs="Calibri"/>
          <w:b/>
          <w:sz w:val="24"/>
          <w:szCs w:val="24"/>
          <w:highlight w:val="white"/>
        </w:rPr>
        <w:t>FLAG*.</w:t>
      </w:r>
      <w:r w:rsidRPr="00ED5B1F">
        <w:rPr>
          <w:rFonts w:ascii="Calibri" w:hAnsi="Calibri" w:cs="Calibri"/>
          <w:sz w:val="24"/>
          <w:szCs w:val="24"/>
          <w:highlight w:val="white"/>
        </w:rPr>
        <w:t xml:space="preserve"> Finally, a target that explicitly addresses emissions that come from forest, land, and agricultural activities is required.</w:t>
      </w:r>
    </w:p>
    <w:p w14:paraId="5C007E13" w14:textId="77777777" w:rsidR="008629A3" w:rsidRPr="00ED5B1F" w:rsidRDefault="008629A3" w:rsidP="00853BD4">
      <w:pPr>
        <w:spacing w:line="240" w:lineRule="auto"/>
        <w:jc w:val="both"/>
        <w:rPr>
          <w:rFonts w:ascii="Calibri" w:hAnsi="Calibri" w:cs="Calibri"/>
          <w:sz w:val="24"/>
          <w:szCs w:val="24"/>
          <w:highlight w:val="white"/>
        </w:rPr>
      </w:pPr>
    </w:p>
    <w:p w14:paraId="19F191EB" w14:textId="7959ACC2"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color w:val="202124"/>
          <w:sz w:val="24"/>
          <w:szCs w:val="24"/>
        </w:rPr>
        <w:t>*</w:t>
      </w:r>
      <w:r w:rsidRPr="00ED5B1F">
        <w:rPr>
          <w:rFonts w:ascii="Calibri" w:hAnsi="Calibri" w:cs="Calibri"/>
          <w:sz w:val="24"/>
          <w:szCs w:val="24"/>
          <w:highlight w:val="white"/>
        </w:rPr>
        <w:t>The sugarcane pathway tool focuses only on developing a target specifically for FLAG emissions. </w:t>
      </w:r>
    </w:p>
    <w:p w14:paraId="6377B73D" w14:textId="77777777" w:rsidR="008629A3" w:rsidRPr="00ED5B1F" w:rsidRDefault="008629A3" w:rsidP="00853BD4">
      <w:pPr>
        <w:spacing w:line="240" w:lineRule="auto"/>
        <w:jc w:val="both"/>
        <w:rPr>
          <w:rFonts w:ascii="Calibri" w:hAnsi="Calibri" w:cs="Calibri"/>
          <w:sz w:val="24"/>
          <w:szCs w:val="24"/>
          <w:highlight w:val="white"/>
        </w:rPr>
      </w:pPr>
    </w:p>
    <w:p w14:paraId="02BD9B52" w14:textId="025A32D0"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For </w:t>
      </w:r>
      <w:proofErr w:type="gramStart"/>
      <w:r w:rsidRPr="00ED5B1F">
        <w:rPr>
          <w:rFonts w:ascii="Calibri" w:hAnsi="Calibri" w:cs="Calibri"/>
          <w:sz w:val="24"/>
          <w:szCs w:val="24"/>
          <w:highlight w:val="white"/>
        </w:rPr>
        <w:t>all of</w:t>
      </w:r>
      <w:proofErr w:type="gramEnd"/>
      <w:r w:rsidRPr="00ED5B1F">
        <w:rPr>
          <w:rFonts w:ascii="Calibri" w:hAnsi="Calibri" w:cs="Calibri"/>
          <w:sz w:val="24"/>
          <w:szCs w:val="24"/>
          <w:highlight w:val="white"/>
        </w:rPr>
        <w:t xml:space="preserve"> these targets, it’s important to measure and establish a baseline year of emissions first, as this will be the primary input for any target development. </w:t>
      </w:r>
    </w:p>
    <w:p w14:paraId="3EFC4B71" w14:textId="77777777" w:rsidR="008629A3" w:rsidRPr="00ED5B1F" w:rsidRDefault="008629A3" w:rsidP="00853BD4">
      <w:pPr>
        <w:spacing w:line="240" w:lineRule="auto"/>
        <w:jc w:val="both"/>
        <w:rPr>
          <w:rFonts w:ascii="Calibri" w:hAnsi="Calibri" w:cs="Calibri"/>
          <w:sz w:val="24"/>
          <w:szCs w:val="24"/>
          <w:highlight w:val="white"/>
        </w:rPr>
      </w:pPr>
    </w:p>
    <w:p w14:paraId="6FE6FFCC" w14:textId="066EA738" w:rsidR="008629A3"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It’s also important to determine the </w:t>
      </w:r>
      <w:proofErr w:type="gramStart"/>
      <w:r w:rsidRPr="00ED5B1F">
        <w:rPr>
          <w:rFonts w:ascii="Calibri" w:hAnsi="Calibri" w:cs="Calibri"/>
          <w:sz w:val="24"/>
          <w:szCs w:val="24"/>
          <w:highlight w:val="white"/>
        </w:rPr>
        <w:t>amount</w:t>
      </w:r>
      <w:proofErr w:type="gramEnd"/>
      <w:r w:rsidRPr="00ED5B1F">
        <w:rPr>
          <w:rFonts w:ascii="Calibri" w:hAnsi="Calibri" w:cs="Calibri"/>
          <w:sz w:val="24"/>
          <w:szCs w:val="24"/>
          <w:highlight w:val="white"/>
        </w:rPr>
        <w:t xml:space="preserve"> of emissions to include in the targets and </w:t>
      </w:r>
      <w:r w:rsidRPr="00ED5B1F">
        <w:rPr>
          <w:rFonts w:ascii="Calibri" w:hAnsi="Calibri" w:cs="Calibri"/>
          <w:sz w:val="24"/>
          <w:szCs w:val="24"/>
          <w:highlight w:val="white"/>
        </w:rPr>
        <w:lastRenderedPageBreak/>
        <w:t>establish a target year in line with the SBTi requirements. At a high level, these</w:t>
      </w:r>
      <w:r w:rsidR="00853BD4">
        <w:rPr>
          <w:rFonts w:ascii="Calibri" w:hAnsi="Calibri" w:cs="Calibri"/>
          <w:sz w:val="24"/>
          <w:szCs w:val="24"/>
          <w:highlight w:val="white"/>
        </w:rPr>
        <w:t xml:space="preserve"> </w:t>
      </w:r>
      <w:r w:rsidRPr="00ED5B1F">
        <w:rPr>
          <w:rFonts w:ascii="Calibri" w:hAnsi="Calibri" w:cs="Calibri"/>
          <w:sz w:val="24"/>
          <w:szCs w:val="24"/>
          <w:highlight w:val="white"/>
        </w:rPr>
        <w:t>requirements include:    </w:t>
      </w:r>
    </w:p>
    <w:p w14:paraId="38B72E9F" w14:textId="77777777" w:rsidR="009462DA" w:rsidRPr="00ED5B1F" w:rsidRDefault="009462DA" w:rsidP="00853BD4">
      <w:pPr>
        <w:spacing w:line="240" w:lineRule="auto"/>
        <w:jc w:val="both"/>
        <w:rPr>
          <w:rFonts w:ascii="Calibri" w:hAnsi="Calibri" w:cs="Calibri"/>
          <w:sz w:val="24"/>
          <w:szCs w:val="24"/>
          <w:highlight w:val="white"/>
        </w:rPr>
      </w:pPr>
    </w:p>
    <w:p w14:paraId="0BF02C79" w14:textId="43F313BE" w:rsidR="008629A3" w:rsidRPr="00ED5B1F" w:rsidRDefault="008629A3" w:rsidP="008629A3">
      <w:pPr>
        <w:widowControl/>
        <w:numPr>
          <w:ilvl w:val="0"/>
          <w:numId w:val="9"/>
        </w:numPr>
        <w:suppressAutoHyphens w:val="0"/>
        <w:autoSpaceDE/>
        <w:autoSpaceDN/>
        <w:adjustRightInd/>
        <w:spacing w:line="240" w:lineRule="auto"/>
        <w:jc w:val="both"/>
        <w:textAlignment w:val="auto"/>
        <w:rPr>
          <w:rFonts w:ascii="Calibri" w:hAnsi="Calibri" w:cs="Calibri"/>
          <w:sz w:val="24"/>
          <w:szCs w:val="24"/>
          <w:highlight w:val="white"/>
        </w:rPr>
      </w:pPr>
      <w:r w:rsidRPr="00ED5B1F">
        <w:rPr>
          <w:rFonts w:ascii="Calibri" w:hAnsi="Calibri" w:cs="Calibri"/>
          <w:b/>
          <w:sz w:val="24"/>
          <w:szCs w:val="24"/>
          <w:highlight w:val="white"/>
        </w:rPr>
        <w:t>A base year.</w:t>
      </w:r>
      <w:r w:rsidRPr="00ED5B1F">
        <w:rPr>
          <w:rFonts w:ascii="Calibri" w:hAnsi="Calibri" w:cs="Calibri"/>
          <w:sz w:val="24"/>
          <w:szCs w:val="24"/>
          <w:highlight w:val="white"/>
        </w:rPr>
        <w:t xml:space="preserve"> Your base year of emissions </w:t>
      </w:r>
      <w:r w:rsidR="00AD266A" w:rsidRPr="00ED5B1F">
        <w:rPr>
          <w:rFonts w:ascii="Calibri" w:hAnsi="Calibri" w:cs="Calibri"/>
          <w:sz w:val="24"/>
          <w:szCs w:val="24"/>
          <w:highlight w:val="white"/>
        </w:rPr>
        <w:t>cannot</w:t>
      </w:r>
      <w:r w:rsidRPr="00ED5B1F">
        <w:rPr>
          <w:rFonts w:ascii="Calibri" w:hAnsi="Calibri" w:cs="Calibri"/>
          <w:sz w:val="24"/>
          <w:szCs w:val="24"/>
          <w:highlight w:val="white"/>
        </w:rPr>
        <w:t xml:space="preserve"> be any earlier than 2015 and is encouraged to be the same across all scopes, including FLAG. It’s recommended to use data from your most recent inventory of emissions as a base year. </w:t>
      </w:r>
    </w:p>
    <w:p w14:paraId="17E6DF13" w14:textId="77777777" w:rsidR="008629A3" w:rsidRPr="00ED5B1F" w:rsidRDefault="008629A3" w:rsidP="008629A3">
      <w:pPr>
        <w:widowControl/>
        <w:numPr>
          <w:ilvl w:val="0"/>
          <w:numId w:val="9"/>
        </w:numPr>
        <w:suppressAutoHyphens w:val="0"/>
        <w:autoSpaceDE/>
        <w:autoSpaceDN/>
        <w:adjustRightInd/>
        <w:spacing w:line="240" w:lineRule="auto"/>
        <w:jc w:val="both"/>
        <w:textAlignment w:val="auto"/>
        <w:rPr>
          <w:rFonts w:ascii="Calibri" w:hAnsi="Calibri" w:cs="Calibri"/>
          <w:sz w:val="24"/>
          <w:szCs w:val="24"/>
          <w:highlight w:val="white"/>
        </w:rPr>
      </w:pPr>
      <w:r w:rsidRPr="00ED5B1F">
        <w:rPr>
          <w:rFonts w:ascii="Calibri" w:hAnsi="Calibri" w:cs="Calibri"/>
          <w:b/>
          <w:sz w:val="24"/>
          <w:szCs w:val="24"/>
          <w:highlight w:val="white"/>
        </w:rPr>
        <w:t>Target year.</w:t>
      </w:r>
      <w:r w:rsidRPr="00ED5B1F">
        <w:rPr>
          <w:rFonts w:ascii="Calibri" w:hAnsi="Calibri" w:cs="Calibri"/>
          <w:sz w:val="24"/>
          <w:szCs w:val="24"/>
          <w:highlight w:val="white"/>
        </w:rPr>
        <w:t xml:space="preserve"> Companies have the option to set only “near-term targets,” which must be 5 - 10 years from the year the goals are submitted, as well as “long-term targets” that achieve reductions by 2050. </w:t>
      </w:r>
    </w:p>
    <w:p w14:paraId="0F088976" w14:textId="77777777" w:rsidR="008629A3" w:rsidRPr="00ED5B1F" w:rsidRDefault="008629A3" w:rsidP="008629A3">
      <w:pPr>
        <w:widowControl/>
        <w:numPr>
          <w:ilvl w:val="0"/>
          <w:numId w:val="9"/>
        </w:numPr>
        <w:suppressAutoHyphens w:val="0"/>
        <w:autoSpaceDE/>
        <w:autoSpaceDN/>
        <w:adjustRightInd/>
        <w:spacing w:line="240" w:lineRule="auto"/>
        <w:jc w:val="both"/>
        <w:textAlignment w:val="auto"/>
        <w:rPr>
          <w:rFonts w:ascii="Calibri" w:hAnsi="Calibri" w:cs="Calibri"/>
          <w:sz w:val="24"/>
          <w:szCs w:val="24"/>
          <w:highlight w:val="white"/>
        </w:rPr>
      </w:pPr>
      <w:r w:rsidRPr="00ED5B1F">
        <w:rPr>
          <w:rFonts w:ascii="Calibri" w:hAnsi="Calibri" w:cs="Calibri"/>
          <w:b/>
          <w:sz w:val="24"/>
          <w:szCs w:val="24"/>
          <w:highlight w:val="white"/>
        </w:rPr>
        <w:t>Emissions included.</w:t>
      </w:r>
      <w:r w:rsidRPr="00ED5B1F">
        <w:rPr>
          <w:rFonts w:ascii="Calibri" w:hAnsi="Calibri" w:cs="Calibri"/>
          <w:sz w:val="24"/>
          <w:szCs w:val="24"/>
          <w:highlight w:val="white"/>
        </w:rPr>
        <w:t xml:space="preserve"> There are different requirements for near-term and long-term targets in terms of the </w:t>
      </w:r>
      <w:proofErr w:type="gramStart"/>
      <w:r w:rsidRPr="00ED5B1F">
        <w:rPr>
          <w:rFonts w:ascii="Calibri" w:hAnsi="Calibri" w:cs="Calibri"/>
          <w:sz w:val="24"/>
          <w:szCs w:val="24"/>
          <w:highlight w:val="white"/>
        </w:rPr>
        <w:t>amount</w:t>
      </w:r>
      <w:proofErr w:type="gramEnd"/>
      <w:r w:rsidRPr="00ED5B1F">
        <w:rPr>
          <w:rFonts w:ascii="Calibri" w:hAnsi="Calibri" w:cs="Calibri"/>
          <w:sz w:val="24"/>
          <w:szCs w:val="24"/>
          <w:highlight w:val="white"/>
        </w:rPr>
        <w:t xml:space="preserve"> of emissions that need to be addressed in the goals. These requirements also vary by scope. For FLAG targets in the near term, only 67% of emissions need to be addressed in the target, however, in the long term 90% of emissions need to be included. However, these are just the minimum thresholds, and a company can choose any percentage of emissions above the minimum. </w:t>
      </w:r>
    </w:p>
    <w:p w14:paraId="58CD40CF" w14:textId="77777777" w:rsidR="008629A3" w:rsidRPr="00ED5B1F" w:rsidRDefault="008629A3" w:rsidP="008629A3">
      <w:pPr>
        <w:spacing w:line="240" w:lineRule="auto"/>
        <w:rPr>
          <w:rFonts w:ascii="Calibri" w:hAnsi="Calibri" w:cs="Calibri"/>
          <w:sz w:val="24"/>
          <w:szCs w:val="24"/>
          <w:highlight w:val="white"/>
        </w:rPr>
      </w:pPr>
    </w:p>
    <w:p w14:paraId="0FE79B8C" w14:textId="77777777" w:rsidR="008629A3" w:rsidRPr="00ED5B1F" w:rsidRDefault="008629A3" w:rsidP="008629A3">
      <w:pPr>
        <w:pBdr>
          <w:top w:val="nil"/>
          <w:left w:val="nil"/>
          <w:bottom w:val="nil"/>
          <w:right w:val="nil"/>
          <w:between w:val="nil"/>
        </w:pBdr>
        <w:spacing w:line="240" w:lineRule="auto"/>
        <w:rPr>
          <w:rFonts w:ascii="Calibri" w:hAnsi="Calibri" w:cs="Calibri"/>
          <w:sz w:val="24"/>
          <w:szCs w:val="24"/>
          <w:highlight w:val="white"/>
        </w:rPr>
      </w:pPr>
    </w:p>
    <w:p w14:paraId="4E8AEB4B" w14:textId="35157A88" w:rsidR="008629A3" w:rsidRPr="00ED5B1F" w:rsidRDefault="008629A3" w:rsidP="008629A3">
      <w:pPr>
        <w:pStyle w:val="ListParagraph"/>
        <w:numPr>
          <w:ilvl w:val="0"/>
          <w:numId w:val="13"/>
        </w:numPr>
        <w:pBdr>
          <w:top w:val="nil"/>
          <w:left w:val="nil"/>
          <w:bottom w:val="nil"/>
          <w:right w:val="nil"/>
          <w:between w:val="nil"/>
        </w:pBdr>
        <w:spacing w:line="240" w:lineRule="auto"/>
        <w:rPr>
          <w:rFonts w:ascii="Calibri" w:hAnsi="Calibri" w:cs="Calibri"/>
          <w:color w:val="6A5E5A"/>
          <w:sz w:val="28"/>
          <w:szCs w:val="28"/>
          <w:lang w:val="en-US" w:eastAsia="en-US"/>
        </w:rPr>
      </w:pPr>
      <w:r w:rsidRPr="00ED5B1F">
        <w:rPr>
          <w:rFonts w:ascii="Calibri" w:hAnsi="Calibri" w:cs="Calibri"/>
          <w:color w:val="6A5E5A"/>
          <w:sz w:val="28"/>
          <w:szCs w:val="28"/>
          <w:lang w:val="en-US" w:eastAsia="en-US"/>
        </w:rPr>
        <w:t>Why FLAG emissions?</w:t>
      </w:r>
    </w:p>
    <w:p w14:paraId="17EFC135" w14:textId="77777777" w:rsidR="008629A3" w:rsidRPr="00ED5B1F" w:rsidRDefault="008629A3" w:rsidP="008629A3">
      <w:pPr>
        <w:pBdr>
          <w:top w:val="nil"/>
          <w:left w:val="nil"/>
          <w:bottom w:val="nil"/>
          <w:right w:val="nil"/>
          <w:between w:val="nil"/>
        </w:pBdr>
        <w:spacing w:line="240" w:lineRule="auto"/>
        <w:rPr>
          <w:rFonts w:ascii="Calibri" w:hAnsi="Calibri" w:cs="Calibri"/>
          <w:sz w:val="24"/>
          <w:szCs w:val="24"/>
          <w:highlight w:val="white"/>
        </w:rPr>
      </w:pPr>
    </w:p>
    <w:p w14:paraId="05C2107B" w14:textId="43470DF8" w:rsidR="008629A3" w:rsidRPr="00ED5B1F"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Globally emissions that come from Agriculture, Forestry, and Other Land Use (AFOLU) comprise 22% of global GHG emissions, of which half (50%) comes from land use change and land management emissions. Additionally, the carbon removal and storage potential in agriculture from soil carbon sequestration and biomass carbon accumulation (e.g., agroforestry) represent a critical opportunity to support the goal of limiting warming to a 1.5°C threshold.</w:t>
      </w:r>
    </w:p>
    <w:p w14:paraId="00FEEDBE" w14:textId="77777777" w:rsidR="008629A3" w:rsidRPr="00ED5B1F" w:rsidRDefault="008629A3" w:rsidP="00853BD4">
      <w:pPr>
        <w:jc w:val="both"/>
        <w:rPr>
          <w:rFonts w:ascii="Calibri" w:hAnsi="Calibri" w:cs="Calibri"/>
          <w:sz w:val="24"/>
          <w:szCs w:val="24"/>
          <w:highlight w:val="white"/>
        </w:rPr>
      </w:pPr>
    </w:p>
    <w:p w14:paraId="4EF34832" w14:textId="77777777" w:rsidR="008629A3" w:rsidRPr="00ED5B1F"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Recognizing this challenge and opportunity, SBTi now specifically requires companies in the food and beverage industry or companies whose emissions from the forest, land, and agriculture (FLAG) are greater than 20% set goals for reducing these FLAG emissions. </w:t>
      </w:r>
    </w:p>
    <w:p w14:paraId="66258C84" w14:textId="77777777" w:rsidR="008629A3" w:rsidRPr="00ED5B1F" w:rsidRDefault="008629A3" w:rsidP="008629A3">
      <w:pPr>
        <w:rPr>
          <w:rFonts w:ascii="Calibri" w:hAnsi="Calibri" w:cs="Calibri"/>
          <w:color w:val="000000"/>
          <w:sz w:val="24"/>
          <w:szCs w:val="24"/>
        </w:rPr>
      </w:pPr>
    </w:p>
    <w:p w14:paraId="018A9143" w14:textId="037D35F2" w:rsidR="008629A3" w:rsidRPr="00ED5B1F" w:rsidRDefault="008629A3" w:rsidP="008629A3">
      <w:pPr>
        <w:widowControl/>
        <w:suppressAutoHyphens w:val="0"/>
        <w:autoSpaceDE/>
        <w:autoSpaceDN/>
        <w:adjustRightInd/>
        <w:spacing w:after="120" w:line="288" w:lineRule="auto"/>
        <w:jc w:val="both"/>
        <w:textAlignment w:val="auto"/>
        <w:rPr>
          <w:rFonts w:ascii="Calibri" w:eastAsia="Calibri" w:hAnsi="Calibri" w:cs="Calibri"/>
          <w:color w:val="6A5E5A"/>
          <w:sz w:val="24"/>
          <w:szCs w:val="24"/>
          <w:lang w:val="en-US" w:eastAsia="en-US"/>
        </w:rPr>
      </w:pPr>
      <w:r w:rsidRPr="00ED5B1F">
        <w:rPr>
          <w:rFonts w:ascii="Calibri" w:eastAsia="Calibri" w:hAnsi="Calibri" w:cs="Calibri"/>
          <w:color w:val="6A5E5A"/>
          <w:sz w:val="24"/>
          <w:szCs w:val="24"/>
          <w:lang w:val="en-US" w:eastAsia="en-US"/>
        </w:rPr>
        <w:t>Measuring FLAG emissions </w:t>
      </w:r>
    </w:p>
    <w:p w14:paraId="267C3256" w14:textId="77777777" w:rsidR="00BD4417"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In order to assess the emissions and to develop a target, FLAG emissions often need to be removed from the other scope 1, 2, and scope 3 categories and further refined. </w:t>
      </w:r>
    </w:p>
    <w:p w14:paraId="77643628" w14:textId="77777777" w:rsidR="00BD4417" w:rsidRDefault="00BD4417" w:rsidP="00853BD4">
      <w:pPr>
        <w:pBdr>
          <w:top w:val="nil"/>
          <w:left w:val="nil"/>
          <w:bottom w:val="nil"/>
          <w:right w:val="nil"/>
          <w:between w:val="nil"/>
        </w:pBdr>
        <w:spacing w:line="240" w:lineRule="auto"/>
        <w:jc w:val="both"/>
        <w:rPr>
          <w:rFonts w:ascii="Calibri" w:hAnsi="Calibri" w:cs="Calibri"/>
          <w:sz w:val="24"/>
          <w:szCs w:val="24"/>
          <w:highlight w:val="white"/>
        </w:rPr>
      </w:pPr>
    </w:p>
    <w:p w14:paraId="60B1AA15" w14:textId="77777777" w:rsidR="00BC1989"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To start, it is helpful to understand the FLAG emissions boundary. FLAG emissions occur from cradle to farm gate, which essentially means any activity that happens on farm, as well as upstream activities, are categorized as FLAG. </w:t>
      </w:r>
    </w:p>
    <w:p w14:paraId="3CC01F25" w14:textId="77777777" w:rsidR="00BC1989" w:rsidRDefault="00BC1989" w:rsidP="00853BD4">
      <w:pPr>
        <w:pBdr>
          <w:top w:val="nil"/>
          <w:left w:val="nil"/>
          <w:bottom w:val="nil"/>
          <w:right w:val="nil"/>
          <w:between w:val="nil"/>
        </w:pBdr>
        <w:spacing w:line="240" w:lineRule="auto"/>
        <w:jc w:val="both"/>
        <w:rPr>
          <w:rFonts w:ascii="Calibri" w:hAnsi="Calibri" w:cs="Calibri"/>
          <w:sz w:val="24"/>
          <w:szCs w:val="24"/>
          <w:highlight w:val="white"/>
        </w:rPr>
      </w:pPr>
    </w:p>
    <w:p w14:paraId="550FB461" w14:textId="77777777" w:rsidR="00BC1989"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For sugarcane, although milling needs to happen quickly after sugarcane harvest, requiring immediate transport, this transportation is considered “beyond the farm gate”. It thus should not be included in the total FLAG emissions for sugarcane. </w:t>
      </w:r>
    </w:p>
    <w:p w14:paraId="362BAB0E" w14:textId="77777777" w:rsidR="00BC1989" w:rsidRDefault="00BC1989" w:rsidP="00853BD4">
      <w:pPr>
        <w:pBdr>
          <w:top w:val="nil"/>
          <w:left w:val="nil"/>
          <w:bottom w:val="nil"/>
          <w:right w:val="nil"/>
          <w:between w:val="nil"/>
        </w:pBdr>
        <w:spacing w:line="240" w:lineRule="auto"/>
        <w:jc w:val="both"/>
        <w:rPr>
          <w:rFonts w:ascii="Calibri" w:hAnsi="Calibri" w:cs="Calibri"/>
          <w:sz w:val="24"/>
          <w:szCs w:val="24"/>
          <w:highlight w:val="white"/>
        </w:rPr>
      </w:pPr>
    </w:p>
    <w:p w14:paraId="302CAA9D" w14:textId="5687E366" w:rsidR="008629A3" w:rsidRPr="00ED5B1F"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lastRenderedPageBreak/>
        <w:t xml:space="preserve">If your entity owns the farm, buildings, and equipment, FLAG emissions may actually be </w:t>
      </w:r>
      <w:proofErr w:type="gramStart"/>
      <w:r w:rsidRPr="00ED5B1F">
        <w:rPr>
          <w:rFonts w:ascii="Calibri" w:hAnsi="Calibri" w:cs="Calibri"/>
          <w:sz w:val="24"/>
          <w:szCs w:val="24"/>
          <w:highlight w:val="white"/>
        </w:rPr>
        <w:t>scope</w:t>
      </w:r>
      <w:proofErr w:type="gramEnd"/>
      <w:r w:rsidRPr="00ED5B1F">
        <w:rPr>
          <w:rFonts w:ascii="Calibri" w:hAnsi="Calibri" w:cs="Calibri"/>
          <w:sz w:val="24"/>
          <w:szCs w:val="24"/>
          <w:highlight w:val="white"/>
        </w:rPr>
        <w:t xml:space="preserve"> 1 and 2 emissions, however, for many traders or brands where sugarcane production is within the supply chain, FLAG emissions are embedded within scope 3 emissions. </w:t>
      </w:r>
    </w:p>
    <w:p w14:paraId="3C9A1EC1" w14:textId="77777777" w:rsidR="008629A3" w:rsidRPr="00ED5B1F"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p>
    <w:p w14:paraId="77F9D0DE" w14:textId="77777777" w:rsidR="00010BB2"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According to the accounting frameworks established by SBTi, the FLAG emissions associated with farm-level sugarcane production need to be split into two major categories. Emissions that come from the conversion of land need to be accounted as </w:t>
      </w:r>
      <w:r w:rsidRPr="009A3B29">
        <w:rPr>
          <w:rFonts w:ascii="Calibri" w:hAnsi="Calibri" w:cs="Calibri"/>
          <w:b/>
          <w:bCs/>
          <w:sz w:val="24"/>
          <w:szCs w:val="24"/>
          <w:highlight w:val="white"/>
        </w:rPr>
        <w:t>land use change (LUC)</w:t>
      </w:r>
      <w:r w:rsidRPr="00ED5B1F">
        <w:rPr>
          <w:rFonts w:ascii="Calibri" w:hAnsi="Calibri" w:cs="Calibri"/>
          <w:sz w:val="24"/>
          <w:szCs w:val="24"/>
          <w:highlight w:val="white"/>
        </w:rPr>
        <w:t xml:space="preserve"> emissions, while all other emissions, such as those that come from on-farm energy use for machinery or the application of fertilizers, are categorized as </w:t>
      </w:r>
      <w:r w:rsidRPr="009A3B29">
        <w:rPr>
          <w:rFonts w:ascii="Calibri" w:hAnsi="Calibri" w:cs="Calibri"/>
          <w:b/>
          <w:bCs/>
          <w:sz w:val="24"/>
          <w:szCs w:val="24"/>
          <w:highlight w:val="white"/>
        </w:rPr>
        <w:t>land management emissions (or non-LUC).</w:t>
      </w:r>
      <w:r w:rsidRPr="00ED5B1F">
        <w:rPr>
          <w:rFonts w:ascii="Calibri" w:hAnsi="Calibri" w:cs="Calibri"/>
          <w:sz w:val="24"/>
          <w:szCs w:val="24"/>
          <w:highlight w:val="white"/>
        </w:rPr>
        <w:t xml:space="preserve"> As agricultural commodities, including sugarcane, also have the potential to sequester carbon in soil or </w:t>
      </w:r>
      <w:proofErr w:type="gramStart"/>
      <w:r w:rsidRPr="00ED5B1F">
        <w:rPr>
          <w:rFonts w:ascii="Calibri" w:hAnsi="Calibri" w:cs="Calibri"/>
          <w:sz w:val="24"/>
          <w:szCs w:val="24"/>
          <w:highlight w:val="white"/>
        </w:rPr>
        <w:t>through the use of</w:t>
      </w:r>
      <w:proofErr w:type="gramEnd"/>
      <w:r w:rsidRPr="00ED5B1F">
        <w:rPr>
          <w:rFonts w:ascii="Calibri" w:hAnsi="Calibri" w:cs="Calibri"/>
          <w:sz w:val="24"/>
          <w:szCs w:val="24"/>
          <w:highlight w:val="white"/>
        </w:rPr>
        <w:t xml:space="preserve"> new technologies such as biochar, the SBTi included the ability to account for </w:t>
      </w:r>
      <w:r w:rsidRPr="00010BB2">
        <w:rPr>
          <w:rFonts w:ascii="Calibri" w:hAnsi="Calibri" w:cs="Calibri"/>
          <w:b/>
          <w:bCs/>
          <w:sz w:val="24"/>
          <w:szCs w:val="24"/>
          <w:highlight w:val="white"/>
        </w:rPr>
        <w:t>carbon removals</w:t>
      </w:r>
      <w:r w:rsidRPr="00ED5B1F">
        <w:rPr>
          <w:rFonts w:ascii="Calibri" w:hAnsi="Calibri" w:cs="Calibri"/>
          <w:sz w:val="24"/>
          <w:szCs w:val="24"/>
          <w:highlight w:val="white"/>
        </w:rPr>
        <w:t xml:space="preserve"> in the original FLAG target-setting exercise.  </w:t>
      </w:r>
    </w:p>
    <w:p w14:paraId="275328C7" w14:textId="77777777" w:rsidR="00010BB2" w:rsidRDefault="00010BB2" w:rsidP="00853BD4">
      <w:pPr>
        <w:pBdr>
          <w:top w:val="nil"/>
          <w:left w:val="nil"/>
          <w:bottom w:val="nil"/>
          <w:right w:val="nil"/>
          <w:between w:val="nil"/>
        </w:pBdr>
        <w:spacing w:line="240" w:lineRule="auto"/>
        <w:jc w:val="both"/>
        <w:rPr>
          <w:rFonts w:ascii="Calibri" w:hAnsi="Calibri" w:cs="Calibri"/>
          <w:sz w:val="24"/>
          <w:szCs w:val="24"/>
          <w:highlight w:val="white"/>
        </w:rPr>
      </w:pPr>
    </w:p>
    <w:p w14:paraId="7F9AA428" w14:textId="45CEBDC6" w:rsidR="008629A3" w:rsidRPr="00ED5B1F"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The following table highlights the data required for the baseline assessment year and typical sources of emissions for sugarcane that may be classified as LUC or Non-LUC, as well as removals. </w:t>
      </w:r>
    </w:p>
    <w:p w14:paraId="6644D2FB" w14:textId="77777777" w:rsidR="008629A3" w:rsidRPr="00ED5B1F" w:rsidRDefault="008629A3" w:rsidP="008629A3">
      <w:pPr>
        <w:pBdr>
          <w:top w:val="nil"/>
          <w:left w:val="nil"/>
          <w:bottom w:val="nil"/>
          <w:right w:val="nil"/>
          <w:between w:val="nil"/>
        </w:pBdr>
        <w:spacing w:line="240" w:lineRule="auto"/>
        <w:rPr>
          <w:rFonts w:ascii="Calibri" w:hAnsi="Calibri" w:cs="Calibri"/>
          <w:sz w:val="24"/>
          <w:szCs w:val="24"/>
          <w:highlight w:val="white"/>
        </w:rPr>
      </w:pPr>
    </w:p>
    <w:p w14:paraId="6A988EC3" w14:textId="77777777" w:rsidR="008629A3" w:rsidRPr="00ED5B1F" w:rsidRDefault="008629A3" w:rsidP="008629A3">
      <w:pPr>
        <w:spacing w:line="240" w:lineRule="auto"/>
        <w:jc w:val="center"/>
        <w:rPr>
          <w:rFonts w:ascii="Calibri" w:hAnsi="Calibri" w:cs="Calibri"/>
          <w:sz w:val="24"/>
          <w:szCs w:val="24"/>
        </w:rPr>
      </w:pPr>
      <w:r w:rsidRPr="00ED5B1F">
        <w:rPr>
          <w:rFonts w:ascii="Calibri" w:hAnsi="Calibri" w:cs="Calibri"/>
          <w:i/>
          <w:color w:val="000000"/>
          <w:sz w:val="24"/>
          <w:szCs w:val="24"/>
        </w:rPr>
        <w:t>Table 1. Example of Sugarcane FLAG emissions &amp; removals</w:t>
      </w:r>
    </w:p>
    <w:p w14:paraId="79A9AEF8" w14:textId="77777777" w:rsidR="008629A3" w:rsidRPr="00ED5B1F" w:rsidRDefault="008629A3" w:rsidP="008629A3">
      <w:pPr>
        <w:spacing w:line="240" w:lineRule="auto"/>
        <w:jc w:val="center"/>
        <w:rPr>
          <w:rFonts w:ascii="Calibri" w:hAnsi="Calibri" w:cs="Calibri"/>
          <w:sz w:val="24"/>
          <w:szCs w:val="24"/>
        </w:rPr>
      </w:pPr>
    </w:p>
    <w:tbl>
      <w:tblPr>
        <w:tblW w:w="9046" w:type="dxa"/>
        <w:tblLayout w:type="fixed"/>
        <w:tblLook w:val="0400" w:firstRow="0" w:lastRow="0" w:firstColumn="0" w:lastColumn="0" w:noHBand="0" w:noVBand="1"/>
      </w:tblPr>
      <w:tblGrid>
        <w:gridCol w:w="1673"/>
        <w:gridCol w:w="1851"/>
        <w:gridCol w:w="5522"/>
      </w:tblGrid>
      <w:tr w:rsidR="008629A3" w:rsidRPr="00ED5B1F" w14:paraId="7CCB6566" w14:textId="77777777" w:rsidTr="009259CE">
        <w:tc>
          <w:tcPr>
            <w:tcW w:w="1673"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DAA6204" w14:textId="77777777" w:rsidR="008629A3" w:rsidRPr="00ED5B1F" w:rsidRDefault="008629A3" w:rsidP="009259CE">
            <w:pPr>
              <w:spacing w:line="240" w:lineRule="auto"/>
              <w:rPr>
                <w:rFonts w:ascii="Calibri" w:hAnsi="Calibri" w:cs="Calibri"/>
                <w:b/>
                <w:sz w:val="24"/>
                <w:szCs w:val="24"/>
                <w:highlight w:val="white"/>
              </w:rPr>
            </w:pPr>
            <w:r w:rsidRPr="00ED5B1F">
              <w:rPr>
                <w:rFonts w:ascii="Calibri" w:hAnsi="Calibri" w:cs="Calibri"/>
                <w:b/>
                <w:sz w:val="24"/>
                <w:szCs w:val="24"/>
                <w:highlight w:val="white"/>
              </w:rPr>
              <w:t>Section </w:t>
            </w:r>
          </w:p>
        </w:tc>
        <w:tc>
          <w:tcPr>
            <w:tcW w:w="1851"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C7F3276" w14:textId="77777777" w:rsidR="008629A3" w:rsidRPr="00ED5B1F" w:rsidRDefault="008629A3" w:rsidP="009259CE">
            <w:pPr>
              <w:spacing w:line="240" w:lineRule="auto"/>
              <w:rPr>
                <w:rFonts w:ascii="Calibri" w:hAnsi="Calibri" w:cs="Calibri"/>
                <w:b/>
                <w:sz w:val="24"/>
                <w:szCs w:val="24"/>
                <w:highlight w:val="white"/>
              </w:rPr>
            </w:pPr>
            <w:r w:rsidRPr="00ED5B1F">
              <w:rPr>
                <w:rFonts w:ascii="Calibri" w:hAnsi="Calibri" w:cs="Calibri"/>
                <w:b/>
                <w:sz w:val="24"/>
                <w:szCs w:val="24"/>
                <w:highlight w:val="white"/>
              </w:rPr>
              <w:t>Data Point </w:t>
            </w:r>
          </w:p>
        </w:tc>
        <w:tc>
          <w:tcPr>
            <w:tcW w:w="5522"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6BF87DA" w14:textId="77777777" w:rsidR="008629A3" w:rsidRPr="00ED5B1F" w:rsidRDefault="008629A3" w:rsidP="009259CE">
            <w:pPr>
              <w:spacing w:line="240" w:lineRule="auto"/>
              <w:rPr>
                <w:rFonts w:ascii="Calibri" w:hAnsi="Calibri" w:cs="Calibri"/>
                <w:b/>
                <w:sz w:val="24"/>
                <w:szCs w:val="24"/>
                <w:highlight w:val="white"/>
              </w:rPr>
            </w:pPr>
            <w:r w:rsidRPr="00ED5B1F">
              <w:rPr>
                <w:rFonts w:ascii="Calibri" w:hAnsi="Calibri" w:cs="Calibri"/>
                <w:b/>
                <w:sz w:val="24"/>
                <w:szCs w:val="24"/>
                <w:highlight w:val="white"/>
              </w:rPr>
              <w:t>Documentation/Data requirement </w:t>
            </w:r>
          </w:p>
        </w:tc>
      </w:tr>
      <w:tr w:rsidR="008629A3" w:rsidRPr="00ED5B1F" w14:paraId="06DFC30F" w14:textId="77777777" w:rsidTr="009259CE">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DE488"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Land Management (Non-LUC)</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34ED3B"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EF value (t CO2eq) per t sugarcane fresh weight</w:t>
            </w:r>
          </w:p>
          <w:p w14:paraId="1D7DB046" w14:textId="77777777" w:rsidR="008629A3" w:rsidRPr="00ED5B1F" w:rsidRDefault="008629A3" w:rsidP="009259CE">
            <w:pPr>
              <w:spacing w:line="240" w:lineRule="auto"/>
              <w:rPr>
                <w:rFonts w:ascii="Calibri" w:hAnsi="Calibri" w:cs="Calibri"/>
                <w:sz w:val="24"/>
                <w:szCs w:val="24"/>
                <w:highlight w:val="white"/>
              </w:rPr>
            </w:pPr>
          </w:p>
          <w:p w14:paraId="79E03DF9"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Or </w:t>
            </w:r>
          </w:p>
          <w:p w14:paraId="2AB683C7" w14:textId="77777777" w:rsidR="008629A3" w:rsidRPr="00ED5B1F" w:rsidRDefault="008629A3" w:rsidP="009259CE">
            <w:pPr>
              <w:spacing w:line="240" w:lineRule="auto"/>
              <w:rPr>
                <w:rFonts w:ascii="Calibri" w:hAnsi="Calibri" w:cs="Calibri"/>
                <w:sz w:val="24"/>
                <w:szCs w:val="24"/>
                <w:highlight w:val="white"/>
              </w:rPr>
            </w:pPr>
          </w:p>
          <w:p w14:paraId="36EA28C2"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Total Emissions (t CO2eq) and Total purchased volume (t fresh weight)</w:t>
            </w:r>
          </w:p>
        </w:tc>
        <w:tc>
          <w:tcPr>
            <w:tcW w:w="5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E1A639" w14:textId="66C45B13" w:rsidR="006C0A82" w:rsidRDefault="008629A3" w:rsidP="001755B3">
            <w:pPr>
              <w:spacing w:line="240" w:lineRule="auto"/>
              <w:rPr>
                <w:rFonts w:ascii="Calibri" w:hAnsi="Calibri" w:cs="Calibri"/>
                <w:sz w:val="24"/>
                <w:szCs w:val="24"/>
                <w:highlight w:val="white"/>
              </w:rPr>
            </w:pPr>
            <w:r w:rsidRPr="00ED5B1F">
              <w:rPr>
                <w:rFonts w:ascii="Calibri" w:hAnsi="Calibri" w:cs="Calibri"/>
                <w:sz w:val="24"/>
                <w:szCs w:val="24"/>
                <w:highlight w:val="white"/>
              </w:rPr>
              <w:t>Full cradle to farm gate inventory of emissions sources including</w:t>
            </w:r>
            <w:r w:rsidR="006C0A82">
              <w:rPr>
                <w:rFonts w:ascii="Calibri" w:hAnsi="Calibri" w:cs="Calibri"/>
                <w:sz w:val="24"/>
                <w:szCs w:val="24"/>
                <w:highlight w:val="white"/>
              </w:rPr>
              <w:t>:</w:t>
            </w:r>
          </w:p>
          <w:p w14:paraId="1AC6DA04" w14:textId="7B2E7F0C" w:rsidR="006C0A82" w:rsidRDefault="006C0A82" w:rsidP="001755B3">
            <w:pPr>
              <w:pStyle w:val="ListParagraph"/>
              <w:numPr>
                <w:ilvl w:val="0"/>
                <w:numId w:val="14"/>
              </w:numPr>
              <w:spacing w:line="240" w:lineRule="auto"/>
              <w:rPr>
                <w:rFonts w:ascii="Calibri" w:hAnsi="Calibri" w:cs="Calibri"/>
                <w:sz w:val="24"/>
                <w:szCs w:val="24"/>
                <w:highlight w:val="white"/>
              </w:rPr>
            </w:pPr>
            <w:r w:rsidRPr="00ED5B1F">
              <w:rPr>
                <w:rFonts w:ascii="Calibri" w:hAnsi="Calibri" w:cs="Calibri"/>
                <w:sz w:val="24"/>
                <w:szCs w:val="24"/>
                <w:highlight w:val="white"/>
              </w:rPr>
              <w:t>emissions from</w:t>
            </w:r>
            <w:r w:rsidRPr="006C0A82">
              <w:rPr>
                <w:rFonts w:ascii="Calibri" w:hAnsi="Calibri" w:cs="Calibri"/>
                <w:sz w:val="24"/>
                <w:szCs w:val="24"/>
                <w:highlight w:val="white"/>
              </w:rPr>
              <w:t xml:space="preserve"> </w:t>
            </w:r>
            <w:r w:rsidR="008629A3" w:rsidRPr="006C0A82">
              <w:rPr>
                <w:rFonts w:ascii="Calibri" w:hAnsi="Calibri" w:cs="Calibri"/>
                <w:sz w:val="24"/>
                <w:szCs w:val="24"/>
                <w:highlight w:val="white"/>
              </w:rPr>
              <w:t>production &amp; transportation of farm inputs (fertilizers, pesticides, fuels, electricity)</w:t>
            </w:r>
          </w:p>
          <w:p w14:paraId="374207B5" w14:textId="77777777" w:rsidR="006C0A82" w:rsidRDefault="008629A3" w:rsidP="001755B3">
            <w:pPr>
              <w:pStyle w:val="ListParagraph"/>
              <w:numPr>
                <w:ilvl w:val="0"/>
                <w:numId w:val="14"/>
              </w:numPr>
              <w:spacing w:line="240" w:lineRule="auto"/>
              <w:rPr>
                <w:rFonts w:ascii="Calibri" w:hAnsi="Calibri" w:cs="Calibri"/>
                <w:sz w:val="24"/>
                <w:szCs w:val="24"/>
                <w:highlight w:val="white"/>
              </w:rPr>
            </w:pPr>
            <w:r w:rsidRPr="006C0A82">
              <w:rPr>
                <w:rFonts w:ascii="Calibri" w:hAnsi="Calibri" w:cs="Calibri"/>
                <w:sz w:val="24"/>
                <w:szCs w:val="24"/>
                <w:highlight w:val="white"/>
              </w:rPr>
              <w:t>emissions from fuel &amp; energy use on farm for application of inputs (fertilizers, pesticides, irrigation) and agricultural practices (tillage, harvest, etc.)</w:t>
            </w:r>
          </w:p>
          <w:p w14:paraId="00B617C4" w14:textId="77777777" w:rsidR="0079038F" w:rsidRDefault="008629A3" w:rsidP="001755B3">
            <w:pPr>
              <w:pStyle w:val="ListParagraph"/>
              <w:numPr>
                <w:ilvl w:val="0"/>
                <w:numId w:val="14"/>
              </w:numPr>
              <w:spacing w:line="240" w:lineRule="auto"/>
              <w:rPr>
                <w:rFonts w:ascii="Calibri" w:hAnsi="Calibri" w:cs="Calibri"/>
                <w:sz w:val="24"/>
                <w:szCs w:val="24"/>
                <w:highlight w:val="white"/>
              </w:rPr>
            </w:pPr>
            <w:r w:rsidRPr="006C0A82">
              <w:rPr>
                <w:rFonts w:ascii="Calibri" w:hAnsi="Calibri" w:cs="Calibri"/>
                <w:sz w:val="24"/>
                <w:szCs w:val="24"/>
                <w:highlight w:val="white"/>
              </w:rPr>
              <w:t>emissions directly from soil (breakdown of N by bacteria or C from lime)</w:t>
            </w:r>
          </w:p>
          <w:p w14:paraId="502A6E8C" w14:textId="651F66C2" w:rsidR="008629A3" w:rsidRPr="006C0A82" w:rsidRDefault="008629A3" w:rsidP="001755B3">
            <w:pPr>
              <w:pStyle w:val="ListParagraph"/>
              <w:numPr>
                <w:ilvl w:val="0"/>
                <w:numId w:val="14"/>
              </w:numPr>
              <w:spacing w:line="240" w:lineRule="auto"/>
              <w:rPr>
                <w:rFonts w:ascii="Calibri" w:hAnsi="Calibri" w:cs="Calibri"/>
                <w:sz w:val="24"/>
                <w:szCs w:val="24"/>
                <w:highlight w:val="white"/>
              </w:rPr>
            </w:pPr>
            <w:r w:rsidRPr="006C0A82">
              <w:rPr>
                <w:rFonts w:ascii="Calibri" w:hAnsi="Calibri" w:cs="Calibri"/>
                <w:sz w:val="24"/>
                <w:szCs w:val="24"/>
                <w:highlight w:val="white"/>
              </w:rPr>
              <w:t>emissions from the burning of sugarcane</w:t>
            </w:r>
          </w:p>
        </w:tc>
      </w:tr>
      <w:tr w:rsidR="008629A3" w:rsidRPr="00ED5B1F" w14:paraId="3DBCF4F5" w14:textId="77777777" w:rsidTr="009259CE">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4AD3E4"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Land Use Change (LUC)</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AFA992"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 xml:space="preserve">Emissions from LUC (t CO2 </w:t>
            </w:r>
            <w:proofErr w:type="spellStart"/>
            <w:r w:rsidRPr="00ED5B1F">
              <w:rPr>
                <w:rFonts w:ascii="Calibri" w:hAnsi="Calibri" w:cs="Calibri"/>
                <w:sz w:val="24"/>
                <w:szCs w:val="24"/>
                <w:highlight w:val="white"/>
              </w:rPr>
              <w:t>eq</w:t>
            </w:r>
            <w:proofErr w:type="spellEnd"/>
            <w:r w:rsidRPr="00ED5B1F">
              <w:rPr>
                <w:rFonts w:ascii="Calibri" w:hAnsi="Calibri" w:cs="Calibri"/>
                <w:sz w:val="24"/>
                <w:szCs w:val="24"/>
                <w:highlight w:val="white"/>
              </w:rPr>
              <w:t>) per t sugarcane fresh weight</w:t>
            </w:r>
          </w:p>
          <w:p w14:paraId="74091469" w14:textId="77777777" w:rsidR="008629A3" w:rsidRPr="00ED5B1F" w:rsidRDefault="008629A3" w:rsidP="009259CE">
            <w:pPr>
              <w:spacing w:line="240" w:lineRule="auto"/>
              <w:rPr>
                <w:rFonts w:ascii="Calibri" w:hAnsi="Calibri" w:cs="Calibri"/>
                <w:sz w:val="24"/>
                <w:szCs w:val="24"/>
                <w:highlight w:val="white"/>
              </w:rPr>
            </w:pPr>
          </w:p>
          <w:p w14:paraId="1B610033"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Or </w:t>
            </w:r>
          </w:p>
          <w:p w14:paraId="73516856" w14:textId="77777777" w:rsidR="008629A3" w:rsidRPr="00ED5B1F" w:rsidRDefault="008629A3" w:rsidP="009259CE">
            <w:pPr>
              <w:spacing w:line="240" w:lineRule="auto"/>
              <w:rPr>
                <w:rFonts w:ascii="Calibri" w:hAnsi="Calibri" w:cs="Calibri"/>
                <w:sz w:val="24"/>
                <w:szCs w:val="24"/>
                <w:highlight w:val="white"/>
              </w:rPr>
            </w:pPr>
          </w:p>
          <w:p w14:paraId="151C93D8"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 xml:space="preserve">Total LUC </w:t>
            </w:r>
            <w:r w:rsidRPr="00ED5B1F">
              <w:rPr>
                <w:rFonts w:ascii="Calibri" w:hAnsi="Calibri" w:cs="Calibri"/>
                <w:sz w:val="24"/>
                <w:szCs w:val="24"/>
                <w:highlight w:val="white"/>
              </w:rPr>
              <w:lastRenderedPageBreak/>
              <w:t>Emissions</w:t>
            </w:r>
          </w:p>
          <w:p w14:paraId="04608ED4"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(t CO2eq) and Total purchased volume (t fresh weight)</w:t>
            </w:r>
          </w:p>
        </w:tc>
        <w:tc>
          <w:tcPr>
            <w:tcW w:w="5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5407D4" w14:textId="77777777"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lastRenderedPageBreak/>
              <w:t>Direct emissions from the conversion of one land cover type to another (calculated as carbon stock change)</w:t>
            </w:r>
          </w:p>
        </w:tc>
      </w:tr>
      <w:tr w:rsidR="008629A3" w:rsidRPr="00ED5B1F" w14:paraId="3A75BC57" w14:textId="77777777" w:rsidTr="009259CE">
        <w:tc>
          <w:tcPr>
            <w:tcW w:w="16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50E238A"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Removal </w:t>
            </w:r>
          </w:p>
        </w:tc>
        <w:tc>
          <w:tcPr>
            <w:tcW w:w="18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761203"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Removals (t CO2eq) per t sugarcane fresh weight</w:t>
            </w:r>
          </w:p>
          <w:p w14:paraId="7E9DF5B9" w14:textId="77777777" w:rsidR="008629A3" w:rsidRPr="00ED5B1F" w:rsidRDefault="008629A3" w:rsidP="009259CE">
            <w:pPr>
              <w:spacing w:line="240" w:lineRule="auto"/>
              <w:rPr>
                <w:rFonts w:ascii="Calibri" w:hAnsi="Calibri" w:cs="Calibri"/>
                <w:sz w:val="24"/>
                <w:szCs w:val="24"/>
                <w:highlight w:val="white"/>
              </w:rPr>
            </w:pPr>
          </w:p>
          <w:p w14:paraId="0CE8A4FC"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Or</w:t>
            </w:r>
          </w:p>
          <w:p w14:paraId="540E04E1" w14:textId="77777777" w:rsidR="008629A3" w:rsidRPr="00ED5B1F" w:rsidRDefault="008629A3" w:rsidP="009259CE">
            <w:pPr>
              <w:spacing w:line="240" w:lineRule="auto"/>
              <w:rPr>
                <w:rFonts w:ascii="Calibri" w:hAnsi="Calibri" w:cs="Calibri"/>
                <w:sz w:val="24"/>
                <w:szCs w:val="24"/>
                <w:highlight w:val="white"/>
              </w:rPr>
            </w:pPr>
          </w:p>
          <w:p w14:paraId="38DE0175"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Total Removals</w:t>
            </w:r>
          </w:p>
          <w:p w14:paraId="37EAB78D" w14:textId="77777777" w:rsidR="008629A3" w:rsidRPr="00ED5B1F" w:rsidRDefault="008629A3" w:rsidP="009259CE">
            <w:pPr>
              <w:spacing w:line="240" w:lineRule="auto"/>
              <w:rPr>
                <w:rFonts w:ascii="Calibri" w:hAnsi="Calibri" w:cs="Calibri"/>
                <w:sz w:val="24"/>
                <w:szCs w:val="24"/>
                <w:highlight w:val="white"/>
              </w:rPr>
            </w:pPr>
            <w:r w:rsidRPr="00ED5B1F">
              <w:rPr>
                <w:rFonts w:ascii="Calibri" w:hAnsi="Calibri" w:cs="Calibri"/>
                <w:sz w:val="24"/>
                <w:szCs w:val="24"/>
                <w:highlight w:val="white"/>
              </w:rPr>
              <w:t>(t CO2eq) and Total purchased volume (t fresh weight)</w:t>
            </w:r>
          </w:p>
        </w:tc>
        <w:tc>
          <w:tcPr>
            <w:tcW w:w="552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907217" w14:textId="62D75E96"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Carbon sequestration may come in the form of increased removals in</w:t>
            </w:r>
            <w:r w:rsidR="007C6BDF">
              <w:rPr>
                <w:rFonts w:ascii="Calibri" w:hAnsi="Calibri" w:cs="Calibri"/>
                <w:sz w:val="24"/>
                <w:szCs w:val="24"/>
                <w:highlight w:val="white"/>
              </w:rPr>
              <w:t xml:space="preserve"> soil organic carbon</w:t>
            </w:r>
            <w:r w:rsidRPr="00ED5B1F">
              <w:rPr>
                <w:rFonts w:ascii="Calibri" w:hAnsi="Calibri" w:cs="Calibri"/>
                <w:sz w:val="24"/>
                <w:szCs w:val="24"/>
                <w:highlight w:val="white"/>
              </w:rPr>
              <w:t xml:space="preserve"> </w:t>
            </w:r>
            <w:r w:rsidR="007C6BDF">
              <w:rPr>
                <w:rFonts w:ascii="Calibri" w:hAnsi="Calibri" w:cs="Calibri"/>
                <w:sz w:val="24"/>
                <w:szCs w:val="24"/>
                <w:highlight w:val="white"/>
              </w:rPr>
              <w:t>(</w:t>
            </w:r>
            <w:r w:rsidRPr="00ED5B1F">
              <w:rPr>
                <w:rFonts w:ascii="Calibri" w:hAnsi="Calibri" w:cs="Calibri"/>
                <w:sz w:val="24"/>
                <w:szCs w:val="24"/>
                <w:highlight w:val="white"/>
              </w:rPr>
              <w:t>SOC</w:t>
            </w:r>
            <w:r w:rsidR="007C6BDF">
              <w:rPr>
                <w:rFonts w:ascii="Calibri" w:hAnsi="Calibri" w:cs="Calibri"/>
                <w:sz w:val="24"/>
                <w:szCs w:val="24"/>
                <w:highlight w:val="white"/>
              </w:rPr>
              <w:t>)</w:t>
            </w:r>
            <w:r w:rsidRPr="00ED5B1F">
              <w:rPr>
                <w:rFonts w:ascii="Calibri" w:hAnsi="Calibri" w:cs="Calibri"/>
                <w:sz w:val="24"/>
                <w:szCs w:val="24"/>
                <w:highlight w:val="white"/>
              </w:rPr>
              <w:t xml:space="preserve"> or through the application of biochar</w:t>
            </w:r>
          </w:p>
        </w:tc>
      </w:tr>
    </w:tbl>
    <w:p w14:paraId="51C7233B" w14:textId="77777777" w:rsidR="008629A3" w:rsidRPr="00ED5B1F" w:rsidRDefault="008629A3" w:rsidP="008629A3">
      <w:pPr>
        <w:rPr>
          <w:rFonts w:ascii="Calibri" w:hAnsi="Calibri" w:cs="Calibri"/>
          <w:sz w:val="24"/>
          <w:szCs w:val="24"/>
        </w:rPr>
      </w:pPr>
    </w:p>
    <w:p w14:paraId="5F9F6F2A" w14:textId="77777777" w:rsidR="008629A3" w:rsidRPr="00ED5B1F" w:rsidRDefault="008629A3" w:rsidP="008629A3">
      <w:pPr>
        <w:spacing w:line="240" w:lineRule="auto"/>
        <w:rPr>
          <w:rFonts w:ascii="Calibri" w:hAnsi="Calibri" w:cs="Calibri"/>
          <w:sz w:val="24"/>
          <w:szCs w:val="24"/>
          <w:highlight w:val="white"/>
        </w:rPr>
      </w:pPr>
    </w:p>
    <w:p w14:paraId="469B0ED1" w14:textId="2493D804" w:rsidR="00C7085E"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Accounting for FLAG emissions generally follows the same approach as the </w:t>
      </w:r>
      <w:proofErr w:type="spellStart"/>
      <w:r w:rsidRPr="00ED5B1F">
        <w:rPr>
          <w:rFonts w:ascii="Calibri" w:hAnsi="Calibri" w:cs="Calibri"/>
          <w:sz w:val="24"/>
          <w:szCs w:val="24"/>
          <w:highlight w:val="white"/>
        </w:rPr>
        <w:t>Bonsucro</w:t>
      </w:r>
      <w:proofErr w:type="spellEnd"/>
      <w:r w:rsidRPr="00ED5B1F">
        <w:rPr>
          <w:rFonts w:ascii="Calibri" w:hAnsi="Calibri" w:cs="Calibri"/>
          <w:sz w:val="24"/>
          <w:szCs w:val="24"/>
          <w:highlight w:val="white"/>
        </w:rPr>
        <w:t xml:space="preserve"> </w:t>
      </w:r>
      <w:r w:rsidR="00B7397F">
        <w:rPr>
          <w:rFonts w:ascii="Calibri" w:hAnsi="Calibri" w:cs="Calibri"/>
          <w:sz w:val="24"/>
          <w:szCs w:val="24"/>
          <w:highlight w:val="white"/>
        </w:rPr>
        <w:t>C</w:t>
      </w:r>
      <w:r w:rsidRPr="00ED5B1F">
        <w:rPr>
          <w:rFonts w:ascii="Calibri" w:hAnsi="Calibri" w:cs="Calibri"/>
          <w:sz w:val="24"/>
          <w:szCs w:val="24"/>
          <w:highlight w:val="white"/>
        </w:rPr>
        <w:t xml:space="preserve">alculator as outlined by the GHG Protocol, however there are specific requirements within the forthcoming </w:t>
      </w:r>
      <w:hyperlink r:id="rId12" w:anchor="supporting-documents" w:history="1">
        <w:r w:rsidRPr="000A3DD2">
          <w:rPr>
            <w:rStyle w:val="Hyperlink"/>
            <w:rFonts w:ascii="Calibri" w:hAnsi="Calibri" w:cs="Calibri"/>
            <w:sz w:val="24"/>
            <w:szCs w:val="24"/>
            <w:highlight w:val="white"/>
          </w:rPr>
          <w:t>GHG Protocol Land Sector and Removals Guidance (GHG LSRG)</w:t>
        </w:r>
      </w:hyperlink>
      <w:r w:rsidRPr="00ED5B1F">
        <w:rPr>
          <w:rFonts w:ascii="Calibri" w:hAnsi="Calibri" w:cs="Calibri"/>
          <w:sz w:val="24"/>
          <w:szCs w:val="24"/>
          <w:highlight w:val="white"/>
        </w:rPr>
        <w:t xml:space="preserve"> that apply specifically to FLAG emissions and potential removals. </w:t>
      </w:r>
    </w:p>
    <w:p w14:paraId="1D96EFD8" w14:textId="77777777" w:rsidR="00A23268" w:rsidRDefault="00A23268" w:rsidP="00853BD4">
      <w:pPr>
        <w:spacing w:line="240" w:lineRule="auto"/>
        <w:jc w:val="both"/>
        <w:rPr>
          <w:rFonts w:ascii="Calibri" w:hAnsi="Calibri" w:cs="Calibri"/>
          <w:sz w:val="24"/>
          <w:szCs w:val="24"/>
          <w:highlight w:val="white"/>
        </w:rPr>
      </w:pPr>
    </w:p>
    <w:p w14:paraId="2A6BF727" w14:textId="5557B367" w:rsidR="00A23268" w:rsidRPr="00A23268" w:rsidRDefault="00A23268" w:rsidP="00853BD4">
      <w:pPr>
        <w:spacing w:line="240" w:lineRule="auto"/>
        <w:jc w:val="both"/>
        <w:rPr>
          <w:rFonts w:ascii="Calibri" w:hAnsi="Calibri" w:cs="Calibri"/>
          <w:sz w:val="24"/>
          <w:szCs w:val="24"/>
          <w:lang w:val="en-US"/>
        </w:rPr>
      </w:pPr>
      <w:r>
        <w:rPr>
          <w:rFonts w:ascii="Calibri" w:hAnsi="Calibri" w:cs="Calibri"/>
          <w:sz w:val="24"/>
          <w:szCs w:val="24"/>
          <w:lang w:val="en-US"/>
        </w:rPr>
        <w:t>At</w:t>
      </w:r>
      <w:r w:rsidRPr="006F38A2">
        <w:rPr>
          <w:rFonts w:ascii="Calibri" w:hAnsi="Calibri" w:cs="Calibri"/>
          <w:sz w:val="24"/>
          <w:szCs w:val="24"/>
          <w:lang w:val="en-US"/>
        </w:rPr>
        <w:t xml:space="preserve"> this time, due to the accounting and validation requirements by the </w:t>
      </w:r>
      <w:hyperlink r:id="rId13" w:anchor="supporting-documents" w:history="1">
        <w:r w:rsidRPr="00115073">
          <w:rPr>
            <w:rStyle w:val="Hyperlink"/>
            <w:rFonts w:ascii="Calibri" w:hAnsi="Calibri" w:cs="Calibri"/>
            <w:sz w:val="24"/>
            <w:szCs w:val="24"/>
            <w:lang w:val="en-US"/>
          </w:rPr>
          <w:t>GHG LSRG</w:t>
        </w:r>
      </w:hyperlink>
      <w:r w:rsidRPr="006F38A2">
        <w:rPr>
          <w:rFonts w:ascii="Calibri" w:hAnsi="Calibri" w:cs="Calibri"/>
          <w:sz w:val="24"/>
          <w:szCs w:val="24"/>
          <w:lang w:val="en-US"/>
        </w:rPr>
        <w:t xml:space="preserve">, the </w:t>
      </w:r>
      <w:proofErr w:type="spellStart"/>
      <w:r w:rsidRPr="006F38A2">
        <w:rPr>
          <w:rFonts w:ascii="Calibri" w:hAnsi="Calibri" w:cs="Calibri"/>
          <w:sz w:val="24"/>
          <w:szCs w:val="24"/>
          <w:lang w:val="en-US"/>
        </w:rPr>
        <w:t>Bonsucro</w:t>
      </w:r>
      <w:proofErr w:type="spellEnd"/>
      <w:r w:rsidRPr="006F38A2">
        <w:rPr>
          <w:rFonts w:ascii="Calibri" w:hAnsi="Calibri" w:cs="Calibri"/>
          <w:sz w:val="24"/>
          <w:szCs w:val="24"/>
          <w:lang w:val="en-US"/>
        </w:rPr>
        <w:t xml:space="preserve"> </w:t>
      </w:r>
      <w:r>
        <w:rPr>
          <w:rFonts w:ascii="Calibri" w:hAnsi="Calibri" w:cs="Calibri"/>
          <w:sz w:val="24"/>
          <w:szCs w:val="24"/>
          <w:lang w:val="en-US"/>
        </w:rPr>
        <w:t>C</w:t>
      </w:r>
      <w:r w:rsidRPr="006F38A2">
        <w:rPr>
          <w:rFonts w:ascii="Calibri" w:hAnsi="Calibri" w:cs="Calibri"/>
          <w:sz w:val="24"/>
          <w:szCs w:val="24"/>
          <w:lang w:val="en-US"/>
        </w:rPr>
        <w:t xml:space="preserve">alculator does not yet have the capability to credibly report on removals. </w:t>
      </w:r>
    </w:p>
    <w:p w14:paraId="58BD84AC" w14:textId="77777777" w:rsidR="002B0D58" w:rsidRDefault="002B0D58" w:rsidP="00853BD4">
      <w:pPr>
        <w:spacing w:line="240" w:lineRule="auto"/>
        <w:jc w:val="both"/>
        <w:rPr>
          <w:rFonts w:ascii="Calibri" w:hAnsi="Calibri" w:cs="Calibri"/>
          <w:sz w:val="24"/>
          <w:szCs w:val="24"/>
          <w:highlight w:val="white"/>
        </w:rPr>
      </w:pPr>
    </w:p>
    <w:p w14:paraId="26DFC7A0" w14:textId="6007A535" w:rsidR="008629A3" w:rsidRPr="005877F4" w:rsidRDefault="005877F4" w:rsidP="005877F4">
      <w:pPr>
        <w:spacing w:line="240" w:lineRule="auto"/>
        <w:jc w:val="both"/>
        <w:rPr>
          <w:rFonts w:ascii="Calibri" w:hAnsi="Calibri" w:cs="Calibri"/>
          <w:sz w:val="24"/>
          <w:szCs w:val="24"/>
          <w:lang w:val="en-US"/>
        </w:rPr>
      </w:pPr>
      <w:r w:rsidRPr="006F38A2">
        <w:rPr>
          <w:rFonts w:ascii="Calibri" w:hAnsi="Calibri" w:cs="Calibri"/>
          <w:sz w:val="24"/>
          <w:szCs w:val="24"/>
          <w:lang w:val="en-US"/>
        </w:rPr>
        <w:t xml:space="preserve">For </w:t>
      </w:r>
      <w:r>
        <w:rPr>
          <w:rFonts w:ascii="Calibri" w:hAnsi="Calibri" w:cs="Calibri"/>
          <w:sz w:val="24"/>
          <w:szCs w:val="24"/>
          <w:lang w:val="en-US"/>
        </w:rPr>
        <w:t xml:space="preserve">companies </w:t>
      </w:r>
      <w:r w:rsidRPr="006F38A2">
        <w:rPr>
          <w:rFonts w:ascii="Calibri" w:hAnsi="Calibri" w:cs="Calibri"/>
          <w:sz w:val="24"/>
          <w:szCs w:val="24"/>
          <w:lang w:val="en-US"/>
        </w:rPr>
        <w:t>who do not have a carbon inventory</w:t>
      </w:r>
      <w:r>
        <w:rPr>
          <w:rFonts w:ascii="Calibri" w:hAnsi="Calibri" w:cs="Calibri"/>
          <w:sz w:val="24"/>
          <w:szCs w:val="24"/>
          <w:lang w:val="en-US"/>
        </w:rPr>
        <w:t xml:space="preserve"> in place and no</w:t>
      </w:r>
      <w:r w:rsidRPr="006F38A2">
        <w:rPr>
          <w:rFonts w:ascii="Calibri" w:hAnsi="Calibri" w:cs="Calibri"/>
          <w:sz w:val="24"/>
          <w:szCs w:val="24"/>
          <w:lang w:val="en-US"/>
        </w:rPr>
        <w:t xml:space="preserve"> </w:t>
      </w:r>
      <w:r>
        <w:rPr>
          <w:rFonts w:ascii="Calibri" w:hAnsi="Calibri" w:cs="Calibri"/>
          <w:sz w:val="24"/>
          <w:szCs w:val="24"/>
          <w:lang w:val="en-US"/>
        </w:rPr>
        <w:t>primary data</w:t>
      </w:r>
      <w:r w:rsidRPr="006F38A2">
        <w:rPr>
          <w:rFonts w:ascii="Calibri" w:hAnsi="Calibri" w:cs="Calibri"/>
          <w:sz w:val="24"/>
          <w:szCs w:val="24"/>
          <w:lang w:val="en-US"/>
        </w:rPr>
        <w:t xml:space="preserve">, default GHG emissions values are provided </w:t>
      </w:r>
      <w:r>
        <w:rPr>
          <w:rFonts w:ascii="Calibri" w:hAnsi="Calibri" w:cs="Calibri"/>
          <w:sz w:val="24"/>
          <w:szCs w:val="24"/>
          <w:lang w:val="en-US"/>
        </w:rPr>
        <w:t xml:space="preserve">in the Target-setting Tool </w:t>
      </w:r>
      <w:r w:rsidRPr="006F38A2">
        <w:rPr>
          <w:rFonts w:ascii="Calibri" w:hAnsi="Calibri" w:cs="Calibri"/>
          <w:sz w:val="24"/>
          <w:szCs w:val="24"/>
          <w:lang w:val="en-US"/>
        </w:rPr>
        <w:t>for use in select geographies.</w:t>
      </w:r>
    </w:p>
    <w:p w14:paraId="71FA16CB" w14:textId="6FB33E9C" w:rsidR="008629A3" w:rsidRPr="00ED5B1F" w:rsidRDefault="008629A3" w:rsidP="008629A3">
      <w:pPr>
        <w:pStyle w:val="Heading1"/>
        <w:numPr>
          <w:ilvl w:val="0"/>
          <w:numId w:val="13"/>
        </w:numPr>
        <w:spacing w:before="400" w:after="120"/>
        <w:rPr>
          <w:rFonts w:ascii="Calibri" w:hAnsi="Calibri" w:cs="Calibri"/>
          <w:color w:val="6A5E5A"/>
          <w:sz w:val="28"/>
          <w:szCs w:val="28"/>
        </w:rPr>
      </w:pPr>
      <w:r w:rsidRPr="00ED5B1F">
        <w:rPr>
          <w:rFonts w:ascii="Calibri" w:hAnsi="Calibri" w:cs="Calibri"/>
          <w:color w:val="6A5E5A"/>
          <w:sz w:val="28"/>
          <w:szCs w:val="28"/>
        </w:rPr>
        <w:t>Pathway Methods and Science </w:t>
      </w:r>
    </w:p>
    <w:p w14:paraId="22496980" w14:textId="77777777" w:rsidR="008629A3" w:rsidRPr="00ED5B1F" w:rsidRDefault="008629A3" w:rsidP="008629A3">
      <w:pPr>
        <w:pStyle w:val="Heading1"/>
        <w:spacing w:before="400" w:after="120"/>
        <w:rPr>
          <w:rFonts w:ascii="Calibri" w:hAnsi="Calibri" w:cs="Calibri"/>
          <w:color w:val="6A5E5A"/>
          <w:sz w:val="24"/>
          <w:szCs w:val="24"/>
        </w:rPr>
      </w:pPr>
      <w:r w:rsidRPr="00ED5B1F">
        <w:rPr>
          <w:rFonts w:ascii="Calibri" w:hAnsi="Calibri" w:cs="Calibri"/>
          <w:color w:val="6A5E5A"/>
          <w:sz w:val="24"/>
          <w:szCs w:val="24"/>
        </w:rPr>
        <w:t>Pathway Context</w:t>
      </w:r>
    </w:p>
    <w:p w14:paraId="756121CC" w14:textId="2FE2F276" w:rsidR="008629A3" w:rsidRPr="00ED5B1F"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The sugarcane pathway</w:t>
      </w:r>
      <w:r w:rsidR="008646FF">
        <w:rPr>
          <w:rFonts w:ascii="Calibri" w:hAnsi="Calibri" w:cs="Calibri"/>
          <w:sz w:val="24"/>
          <w:szCs w:val="24"/>
          <w:highlight w:val="white"/>
        </w:rPr>
        <w:t>’s Target-setting</w:t>
      </w:r>
      <w:r w:rsidRPr="00ED5B1F">
        <w:rPr>
          <w:rFonts w:ascii="Calibri" w:hAnsi="Calibri" w:cs="Calibri"/>
          <w:sz w:val="24"/>
          <w:szCs w:val="24"/>
          <w:highlight w:val="white"/>
        </w:rPr>
        <w:t xml:space="preserve"> </w:t>
      </w:r>
      <w:r w:rsidR="008646FF">
        <w:rPr>
          <w:rFonts w:ascii="Calibri" w:hAnsi="Calibri" w:cs="Calibri"/>
          <w:sz w:val="24"/>
          <w:szCs w:val="24"/>
          <w:highlight w:val="white"/>
        </w:rPr>
        <w:t>T</w:t>
      </w:r>
      <w:r w:rsidRPr="00ED5B1F">
        <w:rPr>
          <w:rFonts w:ascii="Calibri" w:hAnsi="Calibri" w:cs="Calibri"/>
          <w:sz w:val="24"/>
          <w:szCs w:val="24"/>
          <w:highlight w:val="white"/>
        </w:rPr>
        <w:t>ool allows users to enter their base year FLAG emissions and provides a clearly defined pathway for the required emission reductions in the 27 IMAGE regions provided by the tool. </w:t>
      </w:r>
    </w:p>
    <w:p w14:paraId="2A5A8832" w14:textId="77777777" w:rsidR="008629A3" w:rsidRPr="00ED5B1F" w:rsidRDefault="008629A3" w:rsidP="00853BD4">
      <w:pPr>
        <w:jc w:val="both"/>
        <w:rPr>
          <w:rFonts w:ascii="Calibri" w:hAnsi="Calibri" w:cs="Calibri"/>
          <w:sz w:val="24"/>
          <w:szCs w:val="24"/>
          <w:highlight w:val="white"/>
        </w:rPr>
      </w:pPr>
    </w:p>
    <w:p w14:paraId="6E27AE05" w14:textId="77777777" w:rsidR="008629A3" w:rsidRPr="00ED5B1F"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Broadly SBTi utilizes two methods for calculating required reductions in agricultural contexts:</w:t>
      </w:r>
    </w:p>
    <w:p w14:paraId="034BD714" w14:textId="77777777" w:rsidR="008629A3" w:rsidRPr="00ED5B1F" w:rsidRDefault="008629A3" w:rsidP="00853BD4">
      <w:pPr>
        <w:pBdr>
          <w:top w:val="nil"/>
          <w:left w:val="nil"/>
          <w:bottom w:val="nil"/>
          <w:right w:val="nil"/>
          <w:between w:val="nil"/>
        </w:pBdr>
        <w:spacing w:line="240" w:lineRule="auto"/>
        <w:jc w:val="both"/>
        <w:rPr>
          <w:rFonts w:ascii="Calibri" w:hAnsi="Calibri" w:cs="Calibri"/>
          <w:color w:val="000000"/>
          <w:sz w:val="24"/>
          <w:szCs w:val="24"/>
          <w:highlight w:val="white"/>
        </w:rPr>
      </w:pPr>
    </w:p>
    <w:p w14:paraId="0F86C50E" w14:textId="112BB308" w:rsidR="008629A3" w:rsidRPr="00ED5B1F" w:rsidRDefault="008629A3" w:rsidP="00853BD4">
      <w:pPr>
        <w:widowControl/>
        <w:numPr>
          <w:ilvl w:val="0"/>
          <w:numId w:val="10"/>
        </w:numPr>
        <w:pBdr>
          <w:top w:val="nil"/>
          <w:left w:val="nil"/>
          <w:bottom w:val="nil"/>
          <w:right w:val="nil"/>
          <w:between w:val="nil"/>
        </w:pBdr>
        <w:suppressAutoHyphens w:val="0"/>
        <w:autoSpaceDE/>
        <w:autoSpaceDN/>
        <w:adjustRightInd/>
        <w:spacing w:line="240" w:lineRule="auto"/>
        <w:jc w:val="both"/>
        <w:textAlignment w:val="auto"/>
        <w:rPr>
          <w:rFonts w:ascii="Calibri" w:hAnsi="Calibri" w:cs="Calibri"/>
          <w:color w:val="000000"/>
          <w:sz w:val="24"/>
          <w:szCs w:val="24"/>
          <w:highlight w:val="white"/>
        </w:rPr>
      </w:pPr>
      <w:r w:rsidRPr="00ED5B1F">
        <w:rPr>
          <w:rFonts w:ascii="Calibri" w:hAnsi="Calibri" w:cs="Calibri"/>
          <w:b/>
          <w:sz w:val="24"/>
          <w:szCs w:val="24"/>
          <w:highlight w:val="white"/>
        </w:rPr>
        <w:lastRenderedPageBreak/>
        <w:t>Sector Pathway.</w:t>
      </w:r>
      <w:r w:rsidRPr="00ED5B1F">
        <w:rPr>
          <w:rFonts w:ascii="Calibri" w:hAnsi="Calibri" w:cs="Calibri"/>
          <w:color w:val="000000"/>
          <w:sz w:val="24"/>
          <w:szCs w:val="24"/>
          <w:highlight w:val="white"/>
        </w:rPr>
        <w:t xml:space="preserve">  </w:t>
      </w:r>
      <w:r w:rsidRPr="00ED5B1F">
        <w:rPr>
          <w:rFonts w:ascii="Calibri" w:hAnsi="Calibri" w:cs="Calibri"/>
          <w:sz w:val="24"/>
          <w:szCs w:val="24"/>
          <w:highlight w:val="white"/>
        </w:rPr>
        <w:t xml:space="preserve">This pathway requires an absolute reduction of emissions regardless of growth and follows a 3.03% linear annual reduction path. This pathway is recommended for “demand side actors,” such as consumer packaging goods companies or companies whose FLAG emissions are within scope 3. A sector target-setting tool is available on </w:t>
      </w:r>
      <w:hyperlink r:id="rId14" w:history="1">
        <w:r w:rsidRPr="00F03D8C">
          <w:rPr>
            <w:rStyle w:val="Hyperlink"/>
            <w:rFonts w:ascii="Calibri" w:hAnsi="Calibri" w:cs="Calibri"/>
            <w:sz w:val="24"/>
            <w:szCs w:val="24"/>
            <w:highlight w:val="white"/>
          </w:rPr>
          <w:t>SBTi’s website</w:t>
        </w:r>
      </w:hyperlink>
      <w:r w:rsidRPr="00ED5B1F">
        <w:rPr>
          <w:rFonts w:ascii="Calibri" w:hAnsi="Calibri" w:cs="Calibri"/>
          <w:sz w:val="24"/>
          <w:szCs w:val="24"/>
          <w:highlight w:val="white"/>
        </w:rPr>
        <w:t>.</w:t>
      </w:r>
      <w:r w:rsidRPr="00ED5B1F">
        <w:rPr>
          <w:rFonts w:ascii="Calibri" w:hAnsi="Calibri" w:cs="Calibri"/>
          <w:color w:val="000000"/>
          <w:sz w:val="24"/>
          <w:szCs w:val="24"/>
          <w:highlight w:val="white"/>
        </w:rPr>
        <w:t> </w:t>
      </w:r>
    </w:p>
    <w:p w14:paraId="404252B3" w14:textId="77777777" w:rsidR="008629A3" w:rsidRPr="00ED5B1F" w:rsidRDefault="008629A3" w:rsidP="008629A3">
      <w:pPr>
        <w:widowControl/>
        <w:numPr>
          <w:ilvl w:val="0"/>
          <w:numId w:val="10"/>
        </w:numPr>
        <w:pBdr>
          <w:top w:val="nil"/>
          <w:left w:val="nil"/>
          <w:bottom w:val="nil"/>
          <w:right w:val="nil"/>
          <w:between w:val="nil"/>
        </w:pBdr>
        <w:suppressAutoHyphens w:val="0"/>
        <w:autoSpaceDE/>
        <w:autoSpaceDN/>
        <w:adjustRightInd/>
        <w:spacing w:line="240" w:lineRule="auto"/>
        <w:jc w:val="both"/>
        <w:textAlignment w:val="auto"/>
        <w:rPr>
          <w:rFonts w:ascii="Calibri" w:hAnsi="Calibri" w:cs="Calibri"/>
          <w:color w:val="000000"/>
          <w:sz w:val="24"/>
          <w:szCs w:val="24"/>
          <w:highlight w:val="white"/>
        </w:rPr>
      </w:pPr>
      <w:r w:rsidRPr="00ED5B1F">
        <w:rPr>
          <w:rFonts w:ascii="Calibri" w:hAnsi="Calibri" w:cs="Calibri"/>
          <w:b/>
          <w:sz w:val="24"/>
          <w:szCs w:val="24"/>
          <w:highlight w:val="white"/>
        </w:rPr>
        <w:t>Commodity-Specific Pathway.</w:t>
      </w:r>
      <w:r w:rsidRPr="00ED5B1F">
        <w:rPr>
          <w:rFonts w:ascii="Calibri" w:hAnsi="Calibri" w:cs="Calibri"/>
          <w:color w:val="000000"/>
          <w:sz w:val="24"/>
          <w:szCs w:val="24"/>
          <w:highlight w:val="white"/>
        </w:rPr>
        <w:t xml:space="preserve"> </w:t>
      </w:r>
      <w:r w:rsidRPr="00ED5B1F">
        <w:rPr>
          <w:rFonts w:ascii="Calibri" w:hAnsi="Calibri" w:cs="Calibri"/>
          <w:sz w:val="24"/>
          <w:szCs w:val="24"/>
          <w:highlight w:val="white"/>
        </w:rPr>
        <w:t xml:space="preserve">The commodity pathway models are specific to certain agricultural commodities. In these pathways, the annual reduction rate is applied relative to the </w:t>
      </w:r>
      <w:proofErr w:type="gramStart"/>
      <w:r w:rsidRPr="00ED5B1F">
        <w:rPr>
          <w:rFonts w:ascii="Calibri" w:hAnsi="Calibri" w:cs="Calibri"/>
          <w:sz w:val="24"/>
          <w:szCs w:val="24"/>
          <w:highlight w:val="white"/>
        </w:rPr>
        <w:t>amount</w:t>
      </w:r>
      <w:proofErr w:type="gramEnd"/>
      <w:r w:rsidRPr="00ED5B1F">
        <w:rPr>
          <w:rFonts w:ascii="Calibri" w:hAnsi="Calibri" w:cs="Calibri"/>
          <w:sz w:val="24"/>
          <w:szCs w:val="24"/>
          <w:highlight w:val="white"/>
        </w:rPr>
        <w:t xml:space="preserve"> of emissions and considering intended growth in volume, which is known as the intensity approach. These pathways are recommended for “supply-side actors” whose main activity is agriculture or forestry production, or FLAG emissions are within scope 1. Specific pathways exist for beef, pork, chicken, dairy, leather, wheat, maize, rice, palm oil, soy, and timber &amp; wood </w:t>
      </w:r>
      <w:proofErr w:type="spellStart"/>
      <w:r w:rsidRPr="00ED5B1F">
        <w:rPr>
          <w:rFonts w:ascii="Calibri" w:hAnsi="Calibri" w:cs="Calibri"/>
          <w:sz w:val="24"/>
          <w:szCs w:val="24"/>
          <w:highlight w:val="white"/>
        </w:rPr>
        <w:t>fiber</w:t>
      </w:r>
      <w:proofErr w:type="spellEnd"/>
      <w:r w:rsidRPr="00ED5B1F">
        <w:rPr>
          <w:rFonts w:ascii="Calibri" w:hAnsi="Calibri" w:cs="Calibri"/>
          <w:sz w:val="24"/>
          <w:szCs w:val="24"/>
          <w:highlight w:val="white"/>
        </w:rPr>
        <w:t xml:space="preserve"> across 26 regions. </w:t>
      </w:r>
    </w:p>
    <w:p w14:paraId="4B6B78BD" w14:textId="77777777" w:rsidR="008629A3" w:rsidRPr="00ED5B1F" w:rsidRDefault="008629A3" w:rsidP="008629A3">
      <w:pPr>
        <w:pBdr>
          <w:top w:val="nil"/>
          <w:left w:val="nil"/>
          <w:bottom w:val="nil"/>
          <w:right w:val="nil"/>
          <w:between w:val="nil"/>
        </w:pBdr>
        <w:spacing w:line="240" w:lineRule="auto"/>
        <w:rPr>
          <w:rFonts w:ascii="Calibri" w:hAnsi="Calibri" w:cs="Calibri"/>
          <w:sz w:val="24"/>
          <w:szCs w:val="24"/>
          <w:highlight w:val="white"/>
        </w:rPr>
      </w:pPr>
    </w:p>
    <w:p w14:paraId="7503D116" w14:textId="77777777" w:rsidR="008629A3" w:rsidRPr="00ED5B1F"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Currently, the commodity pathways are not required by SBTi, except for the timber industry; however, the commodity and geography lens are helpful for additional communication and internal progress tracking purposes. </w:t>
      </w:r>
    </w:p>
    <w:p w14:paraId="2E791E72" w14:textId="77777777" w:rsidR="008629A3" w:rsidRPr="00ED5B1F"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p>
    <w:p w14:paraId="7791D327" w14:textId="67E75459" w:rsidR="008629A3"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The sugarcane pathway tool was designed similarly to other SBTi FLAG commodity pathways (wheat, soy, dairy, etc.) in the sense that it is an intensity-based tool focused on sugarcane only and includes geographically specific representation, as explained in the following sections. Although it’s important to set goals across the value chain and scopes of emissions, please note th</w:t>
      </w:r>
      <w:r w:rsidR="00B448DD">
        <w:rPr>
          <w:rFonts w:ascii="Calibri" w:hAnsi="Calibri" w:cs="Calibri"/>
          <w:sz w:val="24"/>
          <w:szCs w:val="24"/>
          <w:highlight w:val="white"/>
        </w:rPr>
        <w:t>at the</w:t>
      </w:r>
      <w:r w:rsidRPr="00ED5B1F">
        <w:rPr>
          <w:rFonts w:ascii="Calibri" w:hAnsi="Calibri" w:cs="Calibri"/>
          <w:sz w:val="24"/>
          <w:szCs w:val="24"/>
          <w:highlight w:val="white"/>
        </w:rPr>
        <w:t xml:space="preserve"> tool does not cover the emissions of further transporting and processing sugarcane beyond the farm.</w:t>
      </w:r>
    </w:p>
    <w:p w14:paraId="1FDBE242" w14:textId="77777777" w:rsidR="00853BD4" w:rsidRPr="00ED5B1F" w:rsidRDefault="00853BD4" w:rsidP="00853BD4">
      <w:pPr>
        <w:pBdr>
          <w:top w:val="nil"/>
          <w:left w:val="nil"/>
          <w:bottom w:val="nil"/>
          <w:right w:val="nil"/>
          <w:between w:val="nil"/>
        </w:pBdr>
        <w:spacing w:line="240" w:lineRule="auto"/>
        <w:jc w:val="both"/>
        <w:rPr>
          <w:rFonts w:ascii="Calibri" w:hAnsi="Calibri" w:cs="Calibri"/>
          <w:sz w:val="24"/>
          <w:szCs w:val="24"/>
          <w:highlight w:val="white"/>
        </w:rPr>
      </w:pPr>
    </w:p>
    <w:p w14:paraId="305E73E8" w14:textId="77777777"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The integration of the sugarcane commodity pathway as aligned with the FLAG tool is based on the creation or adaptation of five datasets: </w:t>
      </w:r>
    </w:p>
    <w:p w14:paraId="3291651F" w14:textId="14D01A17" w:rsidR="008629A3" w:rsidRPr="00ED5B1F" w:rsidRDefault="008629A3" w:rsidP="00853BD4">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rPr>
      </w:pPr>
      <w:r w:rsidRPr="00ED5B1F">
        <w:rPr>
          <w:rFonts w:ascii="Calibri" w:hAnsi="Calibri" w:cs="Calibri"/>
          <w:sz w:val="24"/>
          <w:szCs w:val="24"/>
          <w:highlight w:val="white"/>
        </w:rPr>
        <w:t xml:space="preserve">Production forecasts of </w:t>
      </w:r>
      <w:r w:rsidR="00AC22DF">
        <w:rPr>
          <w:rFonts w:ascii="Calibri" w:hAnsi="Calibri" w:cs="Calibri"/>
          <w:sz w:val="24"/>
          <w:szCs w:val="24"/>
          <w:highlight w:val="white"/>
        </w:rPr>
        <w:t>sugarcane</w:t>
      </w:r>
      <w:r w:rsidRPr="00ED5B1F">
        <w:rPr>
          <w:rFonts w:ascii="Calibri" w:hAnsi="Calibri" w:cs="Calibri"/>
          <w:sz w:val="24"/>
          <w:szCs w:val="24"/>
          <w:highlight w:val="white"/>
        </w:rPr>
        <w:t xml:space="preserve"> from 2015 to 2050, </w:t>
      </w:r>
    </w:p>
    <w:p w14:paraId="0EE127F0" w14:textId="77777777" w:rsidR="008629A3" w:rsidRPr="00ED5B1F" w:rsidRDefault="008629A3" w:rsidP="00853BD4">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rPr>
      </w:pPr>
      <w:r w:rsidRPr="00ED5B1F">
        <w:rPr>
          <w:rFonts w:ascii="Calibri" w:hAnsi="Calibri" w:cs="Calibri"/>
          <w:sz w:val="24"/>
          <w:szCs w:val="24"/>
          <w:highlight w:val="white"/>
        </w:rPr>
        <w:t>Regionalized yields of sugarcane production, </w:t>
      </w:r>
    </w:p>
    <w:p w14:paraId="6EC5D536" w14:textId="77777777" w:rsidR="008629A3" w:rsidRPr="00ED5B1F" w:rsidRDefault="008629A3" w:rsidP="00853BD4">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rPr>
      </w:pPr>
      <w:r w:rsidRPr="00ED5B1F">
        <w:rPr>
          <w:rFonts w:ascii="Calibri" w:hAnsi="Calibri" w:cs="Calibri"/>
          <w:sz w:val="24"/>
          <w:szCs w:val="24"/>
          <w:highlight w:val="white"/>
        </w:rPr>
        <w:t>Land management emissions from sugarcane production, </w:t>
      </w:r>
    </w:p>
    <w:p w14:paraId="36916D35" w14:textId="77777777" w:rsidR="008629A3" w:rsidRPr="00ED5B1F" w:rsidRDefault="008629A3" w:rsidP="00853BD4">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rPr>
      </w:pPr>
      <w:r w:rsidRPr="00ED5B1F">
        <w:rPr>
          <w:rFonts w:ascii="Calibri" w:hAnsi="Calibri" w:cs="Calibri"/>
          <w:sz w:val="24"/>
          <w:szCs w:val="24"/>
          <w:highlight w:val="white"/>
        </w:rPr>
        <w:t>Land-use change emissions allocated to sugarcane and </w:t>
      </w:r>
    </w:p>
    <w:p w14:paraId="04175603" w14:textId="77777777" w:rsidR="008629A3" w:rsidRPr="00ED5B1F" w:rsidRDefault="008629A3" w:rsidP="00853BD4">
      <w:pPr>
        <w:widowControl/>
        <w:numPr>
          <w:ilvl w:val="0"/>
          <w:numId w:val="11"/>
        </w:numPr>
        <w:suppressAutoHyphens w:val="0"/>
        <w:autoSpaceDE/>
        <w:autoSpaceDN/>
        <w:adjustRightInd/>
        <w:spacing w:line="240" w:lineRule="auto"/>
        <w:jc w:val="both"/>
        <w:textAlignment w:val="auto"/>
        <w:rPr>
          <w:rFonts w:ascii="Calibri" w:hAnsi="Calibri" w:cs="Calibri"/>
          <w:sz w:val="24"/>
          <w:szCs w:val="24"/>
          <w:highlight w:val="white"/>
        </w:rPr>
      </w:pPr>
      <w:r w:rsidRPr="00ED5B1F">
        <w:rPr>
          <w:rFonts w:ascii="Calibri" w:hAnsi="Calibri" w:cs="Calibri"/>
          <w:sz w:val="24"/>
          <w:szCs w:val="24"/>
          <w:highlight w:val="white"/>
        </w:rPr>
        <w:t>A target value for removals allocated to on-farm sugarcane production.</w:t>
      </w:r>
    </w:p>
    <w:p w14:paraId="0E4B56B5" w14:textId="77777777" w:rsidR="008629A3" w:rsidRPr="00ED5B1F" w:rsidRDefault="008629A3" w:rsidP="008629A3">
      <w:pPr>
        <w:spacing w:line="240" w:lineRule="auto"/>
        <w:rPr>
          <w:rFonts w:ascii="Calibri" w:hAnsi="Calibri" w:cs="Calibri"/>
          <w:sz w:val="24"/>
          <w:szCs w:val="24"/>
          <w:highlight w:val="white"/>
        </w:rPr>
      </w:pPr>
    </w:p>
    <w:p w14:paraId="7B4A1845" w14:textId="77777777" w:rsidR="008629A3" w:rsidRPr="00ED5B1F" w:rsidRDefault="008629A3" w:rsidP="008629A3">
      <w:pPr>
        <w:spacing w:line="240" w:lineRule="auto"/>
        <w:rPr>
          <w:rFonts w:ascii="Calibri" w:hAnsi="Calibri" w:cs="Calibri"/>
          <w:b/>
          <w:sz w:val="24"/>
          <w:szCs w:val="24"/>
          <w:highlight w:val="white"/>
        </w:rPr>
      </w:pPr>
      <w:r w:rsidRPr="00ED5B1F">
        <w:rPr>
          <w:rFonts w:ascii="Calibri" w:hAnsi="Calibri" w:cs="Calibri"/>
          <w:b/>
          <w:sz w:val="24"/>
          <w:szCs w:val="24"/>
          <w:highlight w:val="white"/>
        </w:rPr>
        <w:t>Production Forecasts</w:t>
      </w:r>
    </w:p>
    <w:p w14:paraId="649209F2" w14:textId="77777777" w:rsidR="008629A3" w:rsidRPr="00ED5B1F" w:rsidRDefault="008629A3" w:rsidP="00853BD4">
      <w:pPr>
        <w:spacing w:line="240" w:lineRule="auto"/>
        <w:jc w:val="both"/>
        <w:rPr>
          <w:rFonts w:ascii="Calibri" w:hAnsi="Calibri" w:cs="Calibri"/>
          <w:b/>
          <w:sz w:val="24"/>
          <w:szCs w:val="24"/>
          <w:highlight w:val="white"/>
        </w:rPr>
      </w:pPr>
    </w:p>
    <w:p w14:paraId="519484EB" w14:textId="5EBEE4FF"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To complete the intensity-based calculation, </w:t>
      </w:r>
      <w:r w:rsidR="00E50AAF">
        <w:rPr>
          <w:rFonts w:ascii="Calibri" w:hAnsi="Calibri" w:cs="Calibri"/>
          <w:sz w:val="24"/>
          <w:szCs w:val="24"/>
          <w:highlight w:val="white"/>
        </w:rPr>
        <w:t xml:space="preserve">the </w:t>
      </w:r>
      <w:r w:rsidRPr="00ED5B1F">
        <w:rPr>
          <w:rFonts w:ascii="Calibri" w:hAnsi="Calibri" w:cs="Calibri"/>
          <w:sz w:val="24"/>
          <w:szCs w:val="24"/>
          <w:highlight w:val="white"/>
        </w:rPr>
        <w:t>expected production increase for a company must be compared to global averages of production. FAO data was utilized to aggregate the annual production in each IMAGE region from the years 2005 to 2021 (</w:t>
      </w:r>
      <w:proofErr w:type="spellStart"/>
      <w:r w:rsidRPr="00ED5B1F">
        <w:rPr>
          <w:rFonts w:ascii="Calibri" w:hAnsi="Calibri" w:cs="Calibri"/>
          <w:sz w:val="24"/>
          <w:szCs w:val="24"/>
          <w:highlight w:val="white"/>
        </w:rPr>
        <w:t>FAOstat</w:t>
      </w:r>
      <w:proofErr w:type="spellEnd"/>
      <w:r w:rsidRPr="00ED5B1F">
        <w:rPr>
          <w:rFonts w:ascii="Calibri" w:hAnsi="Calibri" w:cs="Calibri"/>
          <w:sz w:val="24"/>
          <w:szCs w:val="24"/>
          <w:highlight w:val="white"/>
        </w:rPr>
        <w:t xml:space="preserve"> 2022). Sugarcane production volumes were forecast utilizing the OECD Agricultural Outlook for years 2022-2031 and projected to 2050 using the IMAGE SSP2-26 scenario </w:t>
      </w:r>
      <w:proofErr w:type="gramStart"/>
      <w:r w:rsidRPr="00ED5B1F">
        <w:rPr>
          <w:rFonts w:ascii="Calibri" w:hAnsi="Calibri" w:cs="Calibri"/>
          <w:sz w:val="24"/>
          <w:szCs w:val="24"/>
          <w:highlight w:val="white"/>
        </w:rPr>
        <w:t>for the production of</w:t>
      </w:r>
      <w:proofErr w:type="gramEnd"/>
      <w:r w:rsidRPr="00ED5B1F">
        <w:rPr>
          <w:rFonts w:ascii="Calibri" w:hAnsi="Calibri" w:cs="Calibri"/>
          <w:sz w:val="24"/>
          <w:szCs w:val="24"/>
          <w:highlight w:val="white"/>
        </w:rPr>
        <w:t xml:space="preserve"> energy crops (OECD 2022, </w:t>
      </w:r>
      <w:proofErr w:type="spellStart"/>
      <w:r w:rsidRPr="00ED5B1F">
        <w:rPr>
          <w:rFonts w:ascii="Calibri" w:hAnsi="Calibri" w:cs="Calibri"/>
          <w:sz w:val="24"/>
          <w:szCs w:val="24"/>
          <w:highlight w:val="white"/>
        </w:rPr>
        <w:t>Riahi</w:t>
      </w:r>
      <w:proofErr w:type="spellEnd"/>
      <w:r w:rsidRPr="00ED5B1F">
        <w:rPr>
          <w:rFonts w:ascii="Calibri" w:hAnsi="Calibri" w:cs="Calibri"/>
          <w:sz w:val="24"/>
          <w:szCs w:val="24"/>
          <w:highlight w:val="white"/>
        </w:rPr>
        <w:t xml:space="preserve"> et al. 2017). These data represented global values (OECD and IMAGE) and were disaggregated by region by calculating the FAO production fraction from each IMAGE region averaged across the years 2019 to 2021. </w:t>
      </w:r>
    </w:p>
    <w:p w14:paraId="49BC1CD0" w14:textId="77777777" w:rsidR="008629A3" w:rsidRPr="00ED5B1F" w:rsidRDefault="008629A3" w:rsidP="008629A3">
      <w:pPr>
        <w:spacing w:line="240" w:lineRule="auto"/>
        <w:rPr>
          <w:rFonts w:ascii="Calibri" w:hAnsi="Calibri" w:cs="Calibri"/>
          <w:sz w:val="24"/>
          <w:szCs w:val="24"/>
          <w:highlight w:val="white"/>
        </w:rPr>
      </w:pPr>
    </w:p>
    <w:p w14:paraId="50AA318D" w14:textId="77777777" w:rsidR="008629A3" w:rsidRPr="00ED5B1F" w:rsidRDefault="008629A3" w:rsidP="008629A3">
      <w:pPr>
        <w:spacing w:line="240" w:lineRule="auto"/>
        <w:rPr>
          <w:rFonts w:ascii="Calibri" w:hAnsi="Calibri" w:cs="Calibri"/>
          <w:b/>
          <w:sz w:val="24"/>
          <w:szCs w:val="24"/>
          <w:highlight w:val="white"/>
        </w:rPr>
      </w:pPr>
      <w:r w:rsidRPr="00ED5B1F">
        <w:rPr>
          <w:rFonts w:ascii="Calibri" w:hAnsi="Calibri" w:cs="Calibri"/>
          <w:b/>
          <w:sz w:val="24"/>
          <w:szCs w:val="24"/>
          <w:highlight w:val="white"/>
        </w:rPr>
        <w:lastRenderedPageBreak/>
        <w:t>Land Management Emissions</w:t>
      </w:r>
    </w:p>
    <w:p w14:paraId="2C3BCDD5" w14:textId="77777777" w:rsidR="008629A3" w:rsidRPr="00ED5B1F" w:rsidRDefault="008629A3" w:rsidP="008629A3">
      <w:pPr>
        <w:spacing w:line="240" w:lineRule="auto"/>
        <w:rPr>
          <w:rFonts w:ascii="Calibri" w:hAnsi="Calibri" w:cs="Calibri"/>
          <w:b/>
          <w:sz w:val="24"/>
          <w:szCs w:val="24"/>
          <w:highlight w:val="white"/>
        </w:rPr>
      </w:pPr>
    </w:p>
    <w:p w14:paraId="0D543588" w14:textId="558D60D6"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The sugarcane commodity pathways include default land management emissions derived</w:t>
      </w:r>
      <w:r w:rsidR="00FF74C5">
        <w:rPr>
          <w:rFonts w:ascii="Calibri" w:hAnsi="Calibri" w:cs="Calibri"/>
          <w:sz w:val="24"/>
          <w:szCs w:val="24"/>
          <w:highlight w:val="white"/>
        </w:rPr>
        <w:t xml:space="preserve"> from </w:t>
      </w:r>
      <w:r w:rsidR="00FF74C5" w:rsidRPr="00ED5B1F">
        <w:rPr>
          <w:rFonts w:ascii="Calibri" w:hAnsi="Calibri" w:cs="Calibri"/>
          <w:sz w:val="24"/>
          <w:szCs w:val="24"/>
          <w:highlight w:val="white"/>
        </w:rPr>
        <w:t xml:space="preserve">the use of the </w:t>
      </w:r>
      <w:proofErr w:type="spellStart"/>
      <w:r w:rsidR="00FF74C5" w:rsidRPr="00ED5B1F">
        <w:rPr>
          <w:rFonts w:ascii="Calibri" w:hAnsi="Calibri" w:cs="Calibri"/>
          <w:sz w:val="24"/>
          <w:szCs w:val="24"/>
          <w:highlight w:val="white"/>
        </w:rPr>
        <w:t>Bonsucro</w:t>
      </w:r>
      <w:proofErr w:type="spellEnd"/>
      <w:r w:rsidR="00FF74C5" w:rsidRPr="00ED5B1F">
        <w:rPr>
          <w:rFonts w:ascii="Calibri" w:hAnsi="Calibri" w:cs="Calibri"/>
          <w:sz w:val="24"/>
          <w:szCs w:val="24"/>
          <w:highlight w:val="white"/>
        </w:rPr>
        <w:t xml:space="preserve"> </w:t>
      </w:r>
      <w:r w:rsidR="00FF74C5">
        <w:rPr>
          <w:rFonts w:ascii="Calibri" w:hAnsi="Calibri" w:cs="Calibri"/>
          <w:sz w:val="24"/>
          <w:szCs w:val="24"/>
          <w:highlight w:val="white"/>
        </w:rPr>
        <w:t>C</w:t>
      </w:r>
      <w:r w:rsidR="00FF74C5" w:rsidRPr="00ED5B1F">
        <w:rPr>
          <w:rFonts w:ascii="Calibri" w:hAnsi="Calibri" w:cs="Calibri"/>
          <w:sz w:val="24"/>
          <w:szCs w:val="24"/>
          <w:highlight w:val="white"/>
        </w:rPr>
        <w:t>alculator</w:t>
      </w:r>
      <w:r w:rsidRPr="00ED5B1F">
        <w:rPr>
          <w:rFonts w:ascii="Calibri" w:hAnsi="Calibri" w:cs="Calibri"/>
          <w:sz w:val="24"/>
          <w:szCs w:val="24"/>
          <w:highlight w:val="white"/>
        </w:rPr>
        <w:t xml:space="preserve"> </w:t>
      </w:r>
      <w:r w:rsidR="00FF74C5">
        <w:rPr>
          <w:rFonts w:ascii="Calibri" w:hAnsi="Calibri" w:cs="Calibri"/>
          <w:sz w:val="24"/>
          <w:szCs w:val="24"/>
          <w:highlight w:val="white"/>
        </w:rPr>
        <w:t xml:space="preserve">or from </w:t>
      </w:r>
      <w:r w:rsidRPr="00ED5B1F">
        <w:rPr>
          <w:rFonts w:ascii="Calibri" w:hAnsi="Calibri" w:cs="Calibri"/>
          <w:sz w:val="24"/>
          <w:szCs w:val="24"/>
          <w:highlight w:val="white"/>
        </w:rPr>
        <w:t>World Food Life Cycle Database (WFLDB), whe</w:t>
      </w:r>
      <w:r w:rsidR="00FF74C5">
        <w:rPr>
          <w:rFonts w:ascii="Calibri" w:hAnsi="Calibri" w:cs="Calibri"/>
          <w:sz w:val="24"/>
          <w:szCs w:val="24"/>
          <w:highlight w:val="white"/>
        </w:rPr>
        <w:t>n</w:t>
      </w:r>
      <w:r w:rsidRPr="00ED5B1F">
        <w:rPr>
          <w:rFonts w:ascii="Calibri" w:hAnsi="Calibri" w:cs="Calibri"/>
          <w:sz w:val="24"/>
          <w:szCs w:val="24"/>
          <w:highlight w:val="white"/>
        </w:rPr>
        <w:t xml:space="preserve"> data is unavailable from primary data collection. Table 2 summarizes the main impact drivers captured in the FLAG calculation for sugarcane land management emissions. </w:t>
      </w:r>
    </w:p>
    <w:p w14:paraId="72964B04" w14:textId="77777777" w:rsidR="008629A3" w:rsidRPr="00ED5B1F" w:rsidRDefault="008629A3" w:rsidP="008629A3">
      <w:pPr>
        <w:pBdr>
          <w:top w:val="nil"/>
          <w:left w:val="nil"/>
          <w:bottom w:val="nil"/>
          <w:right w:val="nil"/>
          <w:between w:val="nil"/>
        </w:pBdr>
        <w:spacing w:line="240" w:lineRule="auto"/>
        <w:rPr>
          <w:rFonts w:ascii="Calibri" w:hAnsi="Calibri" w:cs="Calibri"/>
          <w:color w:val="000000"/>
          <w:sz w:val="24"/>
          <w:szCs w:val="24"/>
          <w:highlight w:val="white"/>
        </w:rPr>
      </w:pPr>
    </w:p>
    <w:p w14:paraId="0AC8C387" w14:textId="77777777" w:rsidR="008629A3" w:rsidRPr="00ED5B1F" w:rsidRDefault="008629A3" w:rsidP="008629A3">
      <w:pPr>
        <w:spacing w:line="240" w:lineRule="auto"/>
        <w:jc w:val="center"/>
        <w:rPr>
          <w:rFonts w:ascii="Calibri" w:hAnsi="Calibri" w:cs="Calibri"/>
          <w:sz w:val="24"/>
          <w:szCs w:val="24"/>
        </w:rPr>
      </w:pPr>
      <w:r w:rsidRPr="00ED5B1F">
        <w:rPr>
          <w:rFonts w:ascii="Calibri" w:hAnsi="Calibri" w:cs="Calibri"/>
          <w:i/>
          <w:color w:val="000000"/>
          <w:sz w:val="24"/>
          <w:szCs w:val="24"/>
        </w:rPr>
        <w:t>Table 2. Example of Sugarcane FLAG emissions </w:t>
      </w:r>
    </w:p>
    <w:tbl>
      <w:tblPr>
        <w:tblW w:w="8637" w:type="dxa"/>
        <w:jc w:val="center"/>
        <w:tblLayout w:type="fixed"/>
        <w:tblLook w:val="0400" w:firstRow="0" w:lastRow="0" w:firstColumn="0" w:lastColumn="0" w:noHBand="0" w:noVBand="1"/>
      </w:tblPr>
      <w:tblGrid>
        <w:gridCol w:w="8637"/>
      </w:tblGrid>
      <w:tr w:rsidR="008629A3" w:rsidRPr="00ED5B1F" w14:paraId="0944EB7D" w14:textId="77777777" w:rsidTr="00255651">
        <w:trPr>
          <w:trHeight w:val="288"/>
          <w:jc w:val="center"/>
        </w:trPr>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5301DB3F" w14:textId="77777777" w:rsidR="008629A3" w:rsidRPr="00ED5B1F" w:rsidRDefault="008629A3" w:rsidP="009259CE">
            <w:pPr>
              <w:spacing w:line="240" w:lineRule="auto"/>
              <w:rPr>
                <w:rFonts w:ascii="Calibri" w:hAnsi="Calibri" w:cs="Calibri"/>
                <w:sz w:val="24"/>
                <w:szCs w:val="24"/>
              </w:rPr>
            </w:pPr>
            <w:r w:rsidRPr="00ED5B1F">
              <w:rPr>
                <w:rFonts w:ascii="Calibri" w:hAnsi="Calibri" w:cs="Calibri"/>
                <w:color w:val="000000"/>
                <w:sz w:val="24"/>
                <w:szCs w:val="24"/>
              </w:rPr>
              <w:t xml:space="preserve">  Fertilizer (NPK) emissions, as well as transport and production of fertilizer</w:t>
            </w:r>
          </w:p>
        </w:tc>
      </w:tr>
      <w:tr w:rsidR="008629A3" w:rsidRPr="00ED5B1F" w14:paraId="1C97DA01" w14:textId="77777777" w:rsidTr="00255651">
        <w:trPr>
          <w:trHeight w:val="288"/>
          <w:jc w:val="center"/>
        </w:trPr>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340AC798" w14:textId="77777777" w:rsidR="008629A3" w:rsidRPr="00ED5B1F" w:rsidRDefault="008629A3" w:rsidP="009259CE">
            <w:pPr>
              <w:spacing w:line="240" w:lineRule="auto"/>
              <w:rPr>
                <w:rFonts w:ascii="Calibri" w:hAnsi="Calibri" w:cs="Calibri"/>
                <w:sz w:val="24"/>
                <w:szCs w:val="24"/>
              </w:rPr>
            </w:pPr>
            <w:r w:rsidRPr="00ED5B1F">
              <w:rPr>
                <w:rFonts w:ascii="Calibri" w:hAnsi="Calibri" w:cs="Calibri"/>
                <w:color w:val="000000"/>
                <w:sz w:val="24"/>
                <w:szCs w:val="24"/>
              </w:rPr>
              <w:t xml:space="preserve">  Lime emissions, as well as transport and production </w:t>
            </w:r>
          </w:p>
        </w:tc>
      </w:tr>
      <w:tr w:rsidR="008629A3" w:rsidRPr="00ED5B1F" w14:paraId="0C4B4801" w14:textId="77777777" w:rsidTr="00255651">
        <w:trPr>
          <w:trHeight w:val="288"/>
          <w:jc w:val="center"/>
        </w:trPr>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08930C4B" w14:textId="77777777" w:rsidR="008629A3" w:rsidRPr="00ED5B1F" w:rsidRDefault="008629A3" w:rsidP="009259CE">
            <w:pPr>
              <w:spacing w:line="240" w:lineRule="auto"/>
              <w:rPr>
                <w:rFonts w:ascii="Calibri" w:hAnsi="Calibri" w:cs="Calibri"/>
                <w:sz w:val="24"/>
                <w:szCs w:val="24"/>
              </w:rPr>
            </w:pPr>
            <w:r w:rsidRPr="00ED5B1F">
              <w:rPr>
                <w:rFonts w:ascii="Calibri" w:hAnsi="Calibri" w:cs="Calibri"/>
                <w:color w:val="000000"/>
                <w:sz w:val="24"/>
                <w:szCs w:val="24"/>
              </w:rPr>
              <w:t xml:space="preserve">  Herbicide and pesticide use, as well as transport and production </w:t>
            </w:r>
          </w:p>
        </w:tc>
      </w:tr>
      <w:tr w:rsidR="008629A3" w:rsidRPr="00ED5B1F" w14:paraId="4C4B5004" w14:textId="77777777" w:rsidTr="00255651">
        <w:trPr>
          <w:trHeight w:val="288"/>
          <w:jc w:val="center"/>
        </w:trPr>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3F160F07" w14:textId="77777777" w:rsidR="008629A3" w:rsidRPr="00ED5B1F" w:rsidRDefault="008629A3" w:rsidP="009259CE">
            <w:pPr>
              <w:spacing w:line="240" w:lineRule="auto"/>
              <w:rPr>
                <w:rFonts w:ascii="Calibri" w:hAnsi="Calibri" w:cs="Calibri"/>
                <w:sz w:val="24"/>
                <w:szCs w:val="24"/>
              </w:rPr>
            </w:pPr>
            <w:r w:rsidRPr="00ED5B1F">
              <w:rPr>
                <w:rFonts w:ascii="Calibri" w:hAnsi="Calibri" w:cs="Calibri"/>
                <w:color w:val="000000"/>
                <w:sz w:val="24"/>
                <w:szCs w:val="24"/>
              </w:rPr>
              <w:t xml:space="preserve">  Energy use of buildings and machinery (Ex. gasoline, diesel, natural gas, electricity)  </w:t>
            </w:r>
          </w:p>
        </w:tc>
      </w:tr>
      <w:tr w:rsidR="008629A3" w:rsidRPr="00ED5B1F" w14:paraId="1FB7607D" w14:textId="77777777" w:rsidTr="00255651">
        <w:trPr>
          <w:trHeight w:val="288"/>
          <w:jc w:val="center"/>
        </w:trPr>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00498671" w14:textId="77777777" w:rsidR="008629A3" w:rsidRPr="00ED5B1F" w:rsidRDefault="008629A3" w:rsidP="009259CE">
            <w:pPr>
              <w:spacing w:line="240" w:lineRule="auto"/>
              <w:rPr>
                <w:rFonts w:ascii="Calibri" w:hAnsi="Calibri" w:cs="Calibri"/>
                <w:sz w:val="24"/>
                <w:szCs w:val="24"/>
              </w:rPr>
            </w:pPr>
            <w:r w:rsidRPr="00ED5B1F">
              <w:rPr>
                <w:rFonts w:ascii="Calibri" w:hAnsi="Calibri" w:cs="Calibri"/>
                <w:color w:val="000000"/>
                <w:sz w:val="24"/>
                <w:szCs w:val="24"/>
              </w:rPr>
              <w:t xml:space="preserve">  Aircraft fuel </w:t>
            </w:r>
          </w:p>
        </w:tc>
      </w:tr>
      <w:tr w:rsidR="008629A3" w:rsidRPr="00ED5B1F" w14:paraId="0B859AF9" w14:textId="77777777" w:rsidTr="00255651">
        <w:trPr>
          <w:trHeight w:val="288"/>
          <w:jc w:val="center"/>
        </w:trPr>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58FD612B" w14:textId="77777777" w:rsidR="008629A3" w:rsidRPr="00ED5B1F" w:rsidRDefault="008629A3" w:rsidP="009259CE">
            <w:pPr>
              <w:spacing w:line="240" w:lineRule="auto"/>
              <w:rPr>
                <w:rFonts w:ascii="Calibri" w:hAnsi="Calibri" w:cs="Calibri"/>
                <w:sz w:val="24"/>
                <w:szCs w:val="24"/>
              </w:rPr>
            </w:pPr>
            <w:r w:rsidRPr="00ED5B1F">
              <w:rPr>
                <w:rFonts w:ascii="Calibri" w:hAnsi="Calibri" w:cs="Calibri"/>
                <w:color w:val="000000"/>
                <w:sz w:val="24"/>
                <w:szCs w:val="24"/>
              </w:rPr>
              <w:t xml:space="preserve">  Emissions from sugarcane burning</w:t>
            </w:r>
          </w:p>
        </w:tc>
      </w:tr>
      <w:tr w:rsidR="008629A3" w:rsidRPr="00ED5B1F" w14:paraId="7B65FA83" w14:textId="77777777" w:rsidTr="00255651">
        <w:trPr>
          <w:trHeight w:val="288"/>
          <w:jc w:val="center"/>
        </w:trPr>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1F96E899" w14:textId="77777777" w:rsidR="008629A3" w:rsidRPr="00ED5B1F" w:rsidRDefault="008629A3" w:rsidP="009259CE">
            <w:pPr>
              <w:spacing w:line="240" w:lineRule="auto"/>
              <w:rPr>
                <w:rFonts w:ascii="Calibri" w:hAnsi="Calibri" w:cs="Calibri"/>
                <w:sz w:val="24"/>
                <w:szCs w:val="24"/>
              </w:rPr>
            </w:pPr>
            <w:r w:rsidRPr="00ED5B1F">
              <w:rPr>
                <w:rFonts w:ascii="Calibri" w:hAnsi="Calibri" w:cs="Calibri"/>
                <w:color w:val="000000"/>
                <w:sz w:val="24"/>
                <w:szCs w:val="24"/>
              </w:rPr>
              <w:t xml:space="preserve">  Emissions from crop residues left in fields</w:t>
            </w:r>
          </w:p>
        </w:tc>
      </w:tr>
      <w:tr w:rsidR="008629A3" w:rsidRPr="00ED5B1F" w14:paraId="012FFD41" w14:textId="77777777" w:rsidTr="00255651">
        <w:trPr>
          <w:trHeight w:val="288"/>
          <w:jc w:val="center"/>
        </w:trPr>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124877FE" w14:textId="77777777" w:rsidR="008629A3" w:rsidRPr="00ED5B1F" w:rsidRDefault="008629A3" w:rsidP="009259CE">
            <w:pPr>
              <w:spacing w:line="240" w:lineRule="auto"/>
              <w:rPr>
                <w:rFonts w:ascii="Calibri" w:hAnsi="Calibri" w:cs="Calibri"/>
                <w:sz w:val="24"/>
                <w:szCs w:val="24"/>
              </w:rPr>
            </w:pPr>
            <w:r w:rsidRPr="00ED5B1F">
              <w:rPr>
                <w:rFonts w:ascii="Calibri" w:hAnsi="Calibri" w:cs="Calibri"/>
                <w:color w:val="000000"/>
                <w:sz w:val="24"/>
                <w:szCs w:val="24"/>
              </w:rPr>
              <w:t xml:space="preserve">  Emissions from filter cake</w:t>
            </w:r>
          </w:p>
        </w:tc>
      </w:tr>
      <w:tr w:rsidR="008629A3" w:rsidRPr="00ED5B1F" w14:paraId="67570BCF" w14:textId="77777777" w:rsidTr="00255651">
        <w:trPr>
          <w:trHeight w:val="288"/>
          <w:jc w:val="center"/>
        </w:trPr>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29136003" w14:textId="77777777" w:rsidR="008629A3" w:rsidRPr="00ED5B1F" w:rsidRDefault="008629A3" w:rsidP="009259CE">
            <w:pPr>
              <w:spacing w:line="240" w:lineRule="auto"/>
              <w:rPr>
                <w:rFonts w:ascii="Calibri" w:hAnsi="Calibri" w:cs="Calibri"/>
                <w:sz w:val="24"/>
                <w:szCs w:val="24"/>
              </w:rPr>
            </w:pPr>
            <w:r w:rsidRPr="00ED5B1F">
              <w:rPr>
                <w:rFonts w:ascii="Calibri" w:hAnsi="Calibri" w:cs="Calibri"/>
                <w:color w:val="000000"/>
                <w:sz w:val="24"/>
                <w:szCs w:val="24"/>
              </w:rPr>
              <w:t xml:space="preserve">  Emissions from vinasse</w:t>
            </w:r>
          </w:p>
        </w:tc>
      </w:tr>
      <w:tr w:rsidR="008629A3" w:rsidRPr="00ED5B1F" w14:paraId="1D2AF22E" w14:textId="77777777" w:rsidTr="00255651">
        <w:trPr>
          <w:trHeight w:val="288"/>
          <w:jc w:val="center"/>
        </w:trPr>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116CFCCD" w14:textId="77777777" w:rsidR="008629A3" w:rsidRPr="00ED5B1F" w:rsidRDefault="008629A3" w:rsidP="009259CE">
            <w:pPr>
              <w:spacing w:line="240" w:lineRule="auto"/>
              <w:rPr>
                <w:rFonts w:ascii="Calibri" w:hAnsi="Calibri" w:cs="Calibri"/>
                <w:sz w:val="24"/>
                <w:szCs w:val="24"/>
              </w:rPr>
            </w:pPr>
            <w:r w:rsidRPr="00ED5B1F">
              <w:rPr>
                <w:rFonts w:ascii="Calibri" w:hAnsi="Calibri" w:cs="Calibri"/>
                <w:color w:val="000000"/>
                <w:sz w:val="24"/>
                <w:szCs w:val="24"/>
              </w:rPr>
              <w:t xml:space="preserve">  Emissions from energy used in irrigation</w:t>
            </w:r>
          </w:p>
        </w:tc>
      </w:tr>
      <w:tr w:rsidR="008629A3" w:rsidRPr="00ED5B1F" w14:paraId="07BEC817" w14:textId="77777777" w:rsidTr="00255651">
        <w:trPr>
          <w:trHeight w:val="288"/>
          <w:jc w:val="center"/>
        </w:trPr>
        <w:tc>
          <w:tcPr>
            <w:tcW w:w="8637" w:type="dxa"/>
            <w:tcBorders>
              <w:top w:val="single" w:sz="8" w:space="0" w:color="000000"/>
              <w:left w:val="single" w:sz="8" w:space="0" w:color="000000"/>
              <w:bottom w:val="single" w:sz="8" w:space="0" w:color="000000"/>
              <w:right w:val="single" w:sz="8" w:space="0" w:color="000000"/>
            </w:tcBorders>
            <w:shd w:val="clear" w:color="auto" w:fill="FFFFFF"/>
            <w:tcMar>
              <w:top w:w="13" w:type="dxa"/>
              <w:left w:w="13" w:type="dxa"/>
              <w:bottom w:w="0" w:type="dxa"/>
              <w:right w:w="13" w:type="dxa"/>
            </w:tcMar>
            <w:vAlign w:val="center"/>
          </w:tcPr>
          <w:p w14:paraId="1399A0E9" w14:textId="77777777" w:rsidR="008629A3" w:rsidRPr="00ED5B1F" w:rsidRDefault="008629A3" w:rsidP="009259CE">
            <w:pPr>
              <w:spacing w:line="240" w:lineRule="auto"/>
              <w:rPr>
                <w:rFonts w:ascii="Calibri" w:hAnsi="Calibri" w:cs="Calibri"/>
                <w:sz w:val="24"/>
                <w:szCs w:val="24"/>
              </w:rPr>
            </w:pPr>
            <w:r w:rsidRPr="00ED5B1F">
              <w:rPr>
                <w:rFonts w:ascii="Calibri" w:hAnsi="Calibri" w:cs="Calibri"/>
                <w:color w:val="000000"/>
                <w:sz w:val="24"/>
                <w:szCs w:val="24"/>
              </w:rPr>
              <w:t xml:space="preserve">  </w:t>
            </w:r>
            <w:proofErr w:type="spellStart"/>
            <w:r w:rsidRPr="00ED5B1F">
              <w:rPr>
                <w:rFonts w:ascii="Calibri" w:hAnsi="Calibri" w:cs="Calibri"/>
                <w:color w:val="000000"/>
                <w:sz w:val="24"/>
                <w:szCs w:val="24"/>
              </w:rPr>
              <w:t>Ripener</w:t>
            </w:r>
            <w:proofErr w:type="spellEnd"/>
            <w:r w:rsidRPr="00ED5B1F">
              <w:rPr>
                <w:rFonts w:ascii="Calibri" w:hAnsi="Calibri" w:cs="Calibri"/>
                <w:color w:val="000000"/>
                <w:sz w:val="24"/>
                <w:szCs w:val="24"/>
              </w:rPr>
              <w:t xml:space="preserve"> &amp; Other crop chemicals, as well as transport and production </w:t>
            </w:r>
          </w:p>
        </w:tc>
      </w:tr>
    </w:tbl>
    <w:p w14:paraId="3D0ECBBC" w14:textId="77777777" w:rsidR="008629A3" w:rsidRPr="00ED5B1F" w:rsidRDefault="008629A3" w:rsidP="008629A3">
      <w:pPr>
        <w:spacing w:line="240" w:lineRule="auto"/>
        <w:rPr>
          <w:rFonts w:ascii="Calibri" w:hAnsi="Calibri" w:cs="Calibri"/>
          <w:sz w:val="24"/>
          <w:szCs w:val="24"/>
        </w:rPr>
      </w:pPr>
    </w:p>
    <w:p w14:paraId="5FA1D52C" w14:textId="32B5B6B0"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The emissions intensity pathway was projected assuming that the intensity of sugarcane will evolve at a similar rate as the row crop commodities (wheat, soy, maize, rice), as calculated in the original IMAGE model.</w:t>
      </w:r>
    </w:p>
    <w:p w14:paraId="5E7BE328" w14:textId="77777777" w:rsidR="008629A3" w:rsidRPr="00ED5B1F" w:rsidRDefault="008629A3" w:rsidP="00853BD4">
      <w:pPr>
        <w:spacing w:line="240" w:lineRule="auto"/>
        <w:jc w:val="both"/>
        <w:rPr>
          <w:rFonts w:ascii="Calibri" w:hAnsi="Calibri" w:cs="Calibri"/>
          <w:sz w:val="24"/>
          <w:szCs w:val="24"/>
        </w:rPr>
      </w:pPr>
    </w:p>
    <w:p w14:paraId="62327DEC" w14:textId="77777777" w:rsidR="008629A3" w:rsidRPr="00ED5B1F" w:rsidRDefault="008629A3" w:rsidP="00853BD4">
      <w:pPr>
        <w:spacing w:line="240" w:lineRule="auto"/>
        <w:jc w:val="both"/>
        <w:rPr>
          <w:rFonts w:ascii="Calibri" w:hAnsi="Calibri" w:cs="Calibri"/>
          <w:b/>
          <w:sz w:val="24"/>
          <w:szCs w:val="24"/>
          <w:highlight w:val="white"/>
        </w:rPr>
      </w:pPr>
      <w:r w:rsidRPr="00ED5B1F">
        <w:rPr>
          <w:rFonts w:ascii="Calibri" w:hAnsi="Calibri" w:cs="Calibri"/>
          <w:b/>
          <w:sz w:val="24"/>
          <w:szCs w:val="24"/>
          <w:highlight w:val="white"/>
        </w:rPr>
        <w:t>Land Use Change Emissions, Yields &amp; Removals</w:t>
      </w:r>
    </w:p>
    <w:p w14:paraId="4615B867" w14:textId="77777777" w:rsidR="008629A3" w:rsidRPr="00ED5B1F" w:rsidRDefault="008629A3" w:rsidP="00853BD4">
      <w:pPr>
        <w:spacing w:line="240" w:lineRule="auto"/>
        <w:jc w:val="both"/>
        <w:rPr>
          <w:rFonts w:ascii="Calibri" w:hAnsi="Calibri" w:cs="Calibri"/>
          <w:b/>
          <w:sz w:val="24"/>
          <w:szCs w:val="24"/>
          <w:highlight w:val="white"/>
        </w:rPr>
      </w:pPr>
    </w:p>
    <w:p w14:paraId="4A500FF3" w14:textId="38693C3A"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The default land use change impacts are calculated for each region following the methodology outlined in the </w:t>
      </w:r>
      <w:hyperlink r:id="rId15" w:history="1">
        <w:r w:rsidRPr="00C23236">
          <w:rPr>
            <w:rStyle w:val="Hyperlink"/>
            <w:rFonts w:ascii="Calibri" w:hAnsi="Calibri" w:cs="Calibri"/>
            <w:sz w:val="24"/>
            <w:szCs w:val="24"/>
            <w:highlight w:val="white"/>
          </w:rPr>
          <w:t>SBTi FLAG Guidance</w:t>
        </w:r>
      </w:hyperlink>
      <w:r w:rsidRPr="00ED5B1F">
        <w:rPr>
          <w:rFonts w:ascii="Calibri" w:hAnsi="Calibri" w:cs="Calibri"/>
          <w:sz w:val="24"/>
          <w:szCs w:val="24"/>
          <w:highlight w:val="white"/>
        </w:rPr>
        <w:t xml:space="preserve"> and </w:t>
      </w:r>
      <w:hyperlink r:id="rId16" w:history="1">
        <w:r w:rsidRPr="009D03CE">
          <w:rPr>
            <w:rStyle w:val="Hyperlink"/>
            <w:rFonts w:ascii="Calibri" w:hAnsi="Calibri" w:cs="Calibri"/>
            <w:sz w:val="24"/>
            <w:szCs w:val="24"/>
            <w:highlight w:val="white"/>
          </w:rPr>
          <w:t>SBTi FLAG Methods Addendum</w:t>
        </w:r>
      </w:hyperlink>
      <w:r w:rsidRPr="00ED5B1F">
        <w:rPr>
          <w:rFonts w:ascii="Calibri" w:hAnsi="Calibri" w:cs="Calibri"/>
          <w:sz w:val="24"/>
          <w:szCs w:val="24"/>
          <w:highlight w:val="white"/>
        </w:rPr>
        <w:t xml:space="preserve">. Statistical land use change is calculated using the historical expansion method for the default values in the pathway tool. The impact of LUC is calculated for an average unit of land in each geography and allocated to a unit of fresh weight of sugarcane-based on the relative yield for each region. Yield values are determined from FAO and aggregated for each IMAGE region where necessary. Land use change emissions may also be entered using primary data or from values derived from the </w:t>
      </w:r>
      <w:proofErr w:type="spellStart"/>
      <w:r w:rsidRPr="00ED5B1F">
        <w:rPr>
          <w:rFonts w:ascii="Calibri" w:hAnsi="Calibri" w:cs="Calibri"/>
          <w:sz w:val="24"/>
          <w:szCs w:val="24"/>
          <w:highlight w:val="white"/>
        </w:rPr>
        <w:t>Bonsucro</w:t>
      </w:r>
      <w:proofErr w:type="spellEnd"/>
      <w:r w:rsidRPr="00ED5B1F">
        <w:rPr>
          <w:rFonts w:ascii="Calibri" w:hAnsi="Calibri" w:cs="Calibri"/>
          <w:sz w:val="24"/>
          <w:szCs w:val="24"/>
          <w:highlight w:val="white"/>
        </w:rPr>
        <w:t xml:space="preserve"> </w:t>
      </w:r>
      <w:r w:rsidR="008A4558">
        <w:rPr>
          <w:rFonts w:ascii="Calibri" w:hAnsi="Calibri" w:cs="Calibri"/>
          <w:sz w:val="24"/>
          <w:szCs w:val="24"/>
          <w:highlight w:val="white"/>
        </w:rPr>
        <w:t>C</w:t>
      </w:r>
      <w:r w:rsidRPr="00ED5B1F">
        <w:rPr>
          <w:rFonts w:ascii="Calibri" w:hAnsi="Calibri" w:cs="Calibri"/>
          <w:sz w:val="24"/>
          <w:szCs w:val="24"/>
          <w:highlight w:val="white"/>
        </w:rPr>
        <w:t>alculator.</w:t>
      </w:r>
    </w:p>
    <w:p w14:paraId="7C80B085" w14:textId="77777777" w:rsidR="008629A3" w:rsidRPr="00ED5B1F" w:rsidRDefault="008629A3" w:rsidP="00853BD4">
      <w:pPr>
        <w:spacing w:line="240" w:lineRule="auto"/>
        <w:jc w:val="both"/>
        <w:rPr>
          <w:rFonts w:ascii="Calibri" w:hAnsi="Calibri" w:cs="Calibri"/>
          <w:sz w:val="24"/>
          <w:szCs w:val="24"/>
          <w:highlight w:val="white"/>
        </w:rPr>
      </w:pPr>
    </w:p>
    <w:p w14:paraId="7000D6F3" w14:textId="1DE122B8"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The LUC pathway is calculated following the </w:t>
      </w:r>
      <w:hyperlink r:id="rId17" w:history="1">
        <w:r w:rsidR="00E341D1" w:rsidRPr="00C23236">
          <w:rPr>
            <w:rStyle w:val="Hyperlink"/>
            <w:rFonts w:ascii="Calibri" w:hAnsi="Calibri" w:cs="Calibri"/>
            <w:sz w:val="24"/>
            <w:szCs w:val="24"/>
            <w:highlight w:val="white"/>
          </w:rPr>
          <w:t>SBTi FLAG Guidance</w:t>
        </w:r>
      </w:hyperlink>
      <w:r w:rsidRPr="00ED5B1F">
        <w:rPr>
          <w:rFonts w:ascii="Calibri" w:hAnsi="Calibri" w:cs="Calibri"/>
          <w:sz w:val="24"/>
          <w:szCs w:val="24"/>
          <w:highlight w:val="white"/>
        </w:rPr>
        <w:t>, with emissions following the deforestation pathway. The deforestation pathway begins at the baseline year of 2015 and achieves a linear decrease of 25% in 2020 and then a further 100% decrease in deforestation by 2030. The emissions calculation includes a 20-year equal allocation of deforestation emissions impact through 2050. </w:t>
      </w:r>
    </w:p>
    <w:p w14:paraId="6B431333" w14:textId="77777777" w:rsidR="008629A3" w:rsidRPr="00ED5B1F" w:rsidRDefault="008629A3" w:rsidP="00853BD4">
      <w:pPr>
        <w:spacing w:line="240" w:lineRule="auto"/>
        <w:jc w:val="both"/>
        <w:rPr>
          <w:rFonts w:ascii="Calibri" w:hAnsi="Calibri" w:cs="Calibri"/>
          <w:sz w:val="24"/>
          <w:szCs w:val="24"/>
          <w:highlight w:val="white"/>
        </w:rPr>
      </w:pPr>
    </w:p>
    <w:p w14:paraId="07446D2A" w14:textId="684F6A4B"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Removal intensities for each region are similarly calculated following the methods outlined in </w:t>
      </w:r>
      <w:r w:rsidRPr="00ED5B1F">
        <w:rPr>
          <w:rFonts w:ascii="Calibri" w:hAnsi="Calibri" w:cs="Calibri"/>
          <w:sz w:val="24"/>
          <w:szCs w:val="24"/>
          <w:highlight w:val="white"/>
        </w:rPr>
        <w:lastRenderedPageBreak/>
        <w:t xml:space="preserve">the </w:t>
      </w:r>
      <w:hyperlink r:id="rId18" w:history="1">
        <w:r w:rsidR="0022573E" w:rsidRPr="00C23236">
          <w:rPr>
            <w:rStyle w:val="Hyperlink"/>
            <w:rFonts w:ascii="Calibri" w:hAnsi="Calibri" w:cs="Calibri"/>
            <w:sz w:val="24"/>
            <w:szCs w:val="24"/>
            <w:highlight w:val="white"/>
          </w:rPr>
          <w:t>SBTi FLAG Guidance</w:t>
        </w:r>
      </w:hyperlink>
      <w:r w:rsidR="0022573E" w:rsidRPr="00ED5B1F">
        <w:rPr>
          <w:rFonts w:ascii="Calibri" w:hAnsi="Calibri" w:cs="Calibri"/>
          <w:sz w:val="24"/>
          <w:szCs w:val="24"/>
          <w:highlight w:val="white"/>
        </w:rPr>
        <w:t xml:space="preserve"> </w:t>
      </w:r>
      <w:r w:rsidRPr="00ED5B1F">
        <w:rPr>
          <w:rFonts w:ascii="Calibri" w:hAnsi="Calibri" w:cs="Calibri"/>
          <w:sz w:val="24"/>
          <w:szCs w:val="24"/>
          <w:highlight w:val="white"/>
        </w:rPr>
        <w:t xml:space="preserve">and allocated to production units based on geographically specific yield values. Removals target values are derived from Roe et al. 2019 and follow a yearly linear pattern from 2020 to 2050, encapsulating a total of 32 Gt of CO2 </w:t>
      </w:r>
      <w:proofErr w:type="spellStart"/>
      <w:r w:rsidRPr="00ED5B1F">
        <w:rPr>
          <w:rFonts w:ascii="Calibri" w:hAnsi="Calibri" w:cs="Calibri"/>
          <w:sz w:val="24"/>
          <w:szCs w:val="24"/>
          <w:highlight w:val="white"/>
        </w:rPr>
        <w:t>eq</w:t>
      </w:r>
      <w:proofErr w:type="spellEnd"/>
      <w:r w:rsidRPr="00ED5B1F">
        <w:rPr>
          <w:rFonts w:ascii="Calibri" w:hAnsi="Calibri" w:cs="Calibri"/>
          <w:sz w:val="24"/>
          <w:szCs w:val="24"/>
          <w:highlight w:val="white"/>
        </w:rPr>
        <w:t xml:space="preserve"> removals across all global agricultural production</w:t>
      </w:r>
      <w:r w:rsidR="0022573E">
        <w:rPr>
          <w:rFonts w:ascii="Calibri" w:hAnsi="Calibri" w:cs="Calibri"/>
          <w:sz w:val="24"/>
          <w:szCs w:val="24"/>
          <w:highlight w:val="white"/>
        </w:rPr>
        <w:t>.</w:t>
      </w:r>
    </w:p>
    <w:p w14:paraId="671C8B71" w14:textId="77777777" w:rsidR="008629A3" w:rsidRPr="00ED5B1F" w:rsidRDefault="008629A3" w:rsidP="00853BD4">
      <w:pPr>
        <w:spacing w:line="240" w:lineRule="auto"/>
        <w:jc w:val="both"/>
        <w:rPr>
          <w:rFonts w:ascii="Calibri" w:hAnsi="Calibri" w:cs="Calibri"/>
          <w:sz w:val="24"/>
          <w:szCs w:val="24"/>
          <w:highlight w:val="white"/>
        </w:rPr>
      </w:pPr>
    </w:p>
    <w:p w14:paraId="223F9DA6" w14:textId="5F77CB6B"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As these methods closely follow the original methodology outlined in the </w:t>
      </w:r>
      <w:hyperlink r:id="rId19" w:history="1">
        <w:r w:rsidR="0026633A" w:rsidRPr="00C23236">
          <w:rPr>
            <w:rStyle w:val="Hyperlink"/>
            <w:rFonts w:ascii="Calibri" w:hAnsi="Calibri" w:cs="Calibri"/>
            <w:sz w:val="24"/>
            <w:szCs w:val="24"/>
            <w:highlight w:val="white"/>
          </w:rPr>
          <w:t>SBTi FLAG Guidance</w:t>
        </w:r>
      </w:hyperlink>
      <w:r w:rsidRPr="00ED5B1F">
        <w:rPr>
          <w:rFonts w:ascii="Calibri" w:hAnsi="Calibri" w:cs="Calibri"/>
          <w:sz w:val="24"/>
          <w:szCs w:val="24"/>
          <w:highlight w:val="white"/>
        </w:rPr>
        <w:t xml:space="preserve">, they are intended to be compatible with the results generated by the </w:t>
      </w:r>
      <w:hyperlink r:id="rId20" w:history="1">
        <w:r w:rsidRPr="0026633A">
          <w:rPr>
            <w:rStyle w:val="Hyperlink"/>
            <w:rFonts w:ascii="Calibri" w:hAnsi="Calibri" w:cs="Calibri"/>
            <w:sz w:val="24"/>
            <w:szCs w:val="24"/>
            <w:highlight w:val="white"/>
          </w:rPr>
          <w:t>SBTi FLAG tool</w:t>
        </w:r>
      </w:hyperlink>
      <w:r w:rsidRPr="00ED5B1F">
        <w:rPr>
          <w:rFonts w:ascii="Calibri" w:hAnsi="Calibri" w:cs="Calibri"/>
          <w:sz w:val="24"/>
          <w:szCs w:val="24"/>
          <w:highlight w:val="white"/>
        </w:rPr>
        <w:t xml:space="preserve">. For any further information on key assumptions and limitations, please reference the </w:t>
      </w:r>
      <w:hyperlink r:id="rId21" w:history="1">
        <w:r w:rsidRPr="0026633A">
          <w:rPr>
            <w:rStyle w:val="Hyperlink"/>
            <w:rFonts w:ascii="Calibri" w:hAnsi="Calibri" w:cs="Calibri"/>
            <w:sz w:val="24"/>
            <w:szCs w:val="24"/>
            <w:highlight w:val="white"/>
          </w:rPr>
          <w:t>SBT</w:t>
        </w:r>
        <w:r w:rsidR="0026633A" w:rsidRPr="0026633A">
          <w:rPr>
            <w:rStyle w:val="Hyperlink"/>
            <w:rFonts w:ascii="Calibri" w:hAnsi="Calibri" w:cs="Calibri"/>
            <w:sz w:val="24"/>
            <w:szCs w:val="24"/>
            <w:highlight w:val="white"/>
          </w:rPr>
          <w:t>i’s</w:t>
        </w:r>
        <w:r w:rsidRPr="0026633A">
          <w:rPr>
            <w:rStyle w:val="Hyperlink"/>
            <w:rFonts w:ascii="Calibri" w:hAnsi="Calibri" w:cs="Calibri"/>
            <w:sz w:val="24"/>
            <w:szCs w:val="24"/>
            <w:highlight w:val="white"/>
          </w:rPr>
          <w:t xml:space="preserve"> FLAG Methods Addendum</w:t>
        </w:r>
      </w:hyperlink>
      <w:r w:rsidRPr="00ED5B1F">
        <w:rPr>
          <w:rFonts w:ascii="Calibri" w:hAnsi="Calibri" w:cs="Calibri"/>
          <w:sz w:val="24"/>
          <w:szCs w:val="24"/>
          <w:highlight w:val="white"/>
        </w:rPr>
        <w:t>. </w:t>
      </w:r>
    </w:p>
    <w:p w14:paraId="7D8FA16C" w14:textId="1AF723D8" w:rsidR="008629A3" w:rsidRPr="00ED5B1F" w:rsidRDefault="008629A3" w:rsidP="008629A3">
      <w:pPr>
        <w:pStyle w:val="Heading1"/>
        <w:spacing w:before="400" w:after="120"/>
        <w:rPr>
          <w:rFonts w:ascii="Calibri" w:hAnsi="Calibri" w:cs="Calibri"/>
          <w:color w:val="6A5E5A"/>
          <w:sz w:val="28"/>
          <w:szCs w:val="28"/>
        </w:rPr>
      </w:pPr>
      <w:r w:rsidRPr="00ED5B1F">
        <w:rPr>
          <w:rFonts w:ascii="Calibri" w:hAnsi="Calibri" w:cs="Calibri"/>
          <w:color w:val="6A5E5A"/>
          <w:sz w:val="28"/>
          <w:szCs w:val="28"/>
        </w:rPr>
        <w:t>4. Instructions for using the Pathway Target-setting tool</w:t>
      </w:r>
    </w:p>
    <w:p w14:paraId="04D52290" w14:textId="77777777" w:rsidR="008629A3" w:rsidRPr="00ED5B1F" w:rsidRDefault="008629A3" w:rsidP="008629A3">
      <w:pPr>
        <w:spacing w:line="240" w:lineRule="auto"/>
        <w:rPr>
          <w:rFonts w:ascii="Calibri" w:hAnsi="Calibri" w:cs="Calibri"/>
          <w:sz w:val="24"/>
          <w:szCs w:val="24"/>
          <w:highlight w:val="white"/>
        </w:rPr>
      </w:pPr>
    </w:p>
    <w:p w14:paraId="0A30AE50" w14:textId="68E06D7C"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The typical user of the </w:t>
      </w:r>
      <w:proofErr w:type="spellStart"/>
      <w:r w:rsidRPr="00ED5B1F">
        <w:rPr>
          <w:rFonts w:ascii="Calibri" w:hAnsi="Calibri" w:cs="Calibri"/>
          <w:sz w:val="24"/>
          <w:szCs w:val="24"/>
          <w:highlight w:val="white"/>
        </w:rPr>
        <w:t>Bonsucro</w:t>
      </w:r>
      <w:proofErr w:type="spellEnd"/>
      <w:r w:rsidRPr="00ED5B1F">
        <w:rPr>
          <w:rFonts w:ascii="Calibri" w:hAnsi="Calibri" w:cs="Calibri"/>
          <w:sz w:val="24"/>
          <w:szCs w:val="24"/>
          <w:highlight w:val="white"/>
        </w:rPr>
        <w:t xml:space="preserve"> sugarcane emissions pathway tool will mainly interface with the first two tabs in the Excel spreadsheet, titled “Intro” and “Calculations.” The “Intro” tab is a summary tab with information on the tool developers, version number, and a brief summary of the other tabs in the sheet. The “Calculations” tab is where the user will enter the information required by the tool to calculate an emissions pathway. The “Calculations” tab is arranged into two sections, titled “Inputs” and “Results,” and instructions for entering data and interpreting the results are summarized below. </w:t>
      </w:r>
    </w:p>
    <w:p w14:paraId="089BF321" w14:textId="77777777" w:rsidR="008629A3" w:rsidRPr="00ED5B1F" w:rsidRDefault="008629A3" w:rsidP="00853BD4">
      <w:pPr>
        <w:jc w:val="both"/>
        <w:rPr>
          <w:rFonts w:ascii="Calibri" w:hAnsi="Calibri" w:cs="Calibri"/>
          <w:sz w:val="24"/>
          <w:szCs w:val="24"/>
        </w:rPr>
      </w:pPr>
    </w:p>
    <w:p w14:paraId="61CAF813" w14:textId="77777777" w:rsidR="008629A3" w:rsidRPr="00ED5B1F" w:rsidRDefault="008629A3" w:rsidP="00853BD4">
      <w:pPr>
        <w:pBdr>
          <w:top w:val="nil"/>
          <w:left w:val="nil"/>
          <w:bottom w:val="nil"/>
          <w:right w:val="nil"/>
          <w:between w:val="nil"/>
        </w:pBdr>
        <w:spacing w:line="240" w:lineRule="auto"/>
        <w:jc w:val="both"/>
        <w:rPr>
          <w:rFonts w:ascii="Calibri" w:hAnsi="Calibri" w:cs="Calibri"/>
          <w:b/>
          <w:sz w:val="24"/>
          <w:szCs w:val="24"/>
          <w:highlight w:val="white"/>
        </w:rPr>
      </w:pPr>
      <w:r w:rsidRPr="00ED5B1F">
        <w:rPr>
          <w:rFonts w:ascii="Calibri" w:hAnsi="Calibri" w:cs="Calibri"/>
          <w:b/>
          <w:sz w:val="24"/>
          <w:szCs w:val="24"/>
          <w:highlight w:val="white"/>
        </w:rPr>
        <w:t>Inputs Needed</w:t>
      </w:r>
    </w:p>
    <w:p w14:paraId="429BEEDB" w14:textId="77777777" w:rsidR="008629A3" w:rsidRPr="00ED5B1F" w:rsidRDefault="008629A3" w:rsidP="00853BD4">
      <w:pPr>
        <w:pBdr>
          <w:top w:val="nil"/>
          <w:left w:val="nil"/>
          <w:bottom w:val="nil"/>
          <w:right w:val="nil"/>
          <w:between w:val="nil"/>
        </w:pBdr>
        <w:spacing w:line="240" w:lineRule="auto"/>
        <w:jc w:val="both"/>
        <w:rPr>
          <w:rFonts w:ascii="Calibri" w:hAnsi="Calibri" w:cs="Calibri"/>
          <w:b/>
          <w:color w:val="000000"/>
          <w:sz w:val="24"/>
          <w:szCs w:val="24"/>
          <w:highlight w:val="white"/>
        </w:rPr>
      </w:pPr>
    </w:p>
    <w:p w14:paraId="73272E5B" w14:textId="77777777"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sz w:val="24"/>
          <w:szCs w:val="24"/>
          <w:highlight w:val="white"/>
        </w:rPr>
        <w:t>The pathways tool requires data relating to the three main pathways (Land Management, LUC, and Removals) as well as some demographic data on geography, production volumes, and assessment years. The tool also presents the option for users with information on multiple regions to generate multiple pathways on separate rows. The following steps for data entry are listed based on the column headers in the calculation tab:</w:t>
      </w:r>
    </w:p>
    <w:p w14:paraId="412A615A" w14:textId="77777777" w:rsidR="008629A3" w:rsidRPr="00ED5B1F" w:rsidRDefault="008629A3" w:rsidP="008629A3">
      <w:pPr>
        <w:pBdr>
          <w:top w:val="nil"/>
          <w:left w:val="nil"/>
          <w:bottom w:val="nil"/>
          <w:right w:val="nil"/>
          <w:between w:val="nil"/>
        </w:pBdr>
        <w:spacing w:line="240" w:lineRule="auto"/>
        <w:rPr>
          <w:rFonts w:ascii="Calibri" w:hAnsi="Calibri" w:cs="Calibri"/>
          <w:color w:val="000000"/>
          <w:sz w:val="24"/>
          <w:szCs w:val="24"/>
        </w:rPr>
      </w:pPr>
    </w:p>
    <w:p w14:paraId="11E5A31F" w14:textId="77777777" w:rsidR="008629A3" w:rsidRPr="00ED5B1F" w:rsidRDefault="008629A3" w:rsidP="008629A3">
      <w:pPr>
        <w:rPr>
          <w:rFonts w:ascii="Calibri" w:hAnsi="Calibri" w:cs="Calibri"/>
          <w:sz w:val="24"/>
          <w:szCs w:val="24"/>
        </w:rPr>
      </w:pPr>
      <w:r w:rsidRPr="00ED5B1F">
        <w:rPr>
          <w:rFonts w:ascii="Calibri" w:hAnsi="Calibri" w:cs="Calibri"/>
          <w:noProof/>
          <w:sz w:val="24"/>
          <w:szCs w:val="24"/>
        </w:rPr>
        <w:drawing>
          <wp:inline distT="114300" distB="114300" distL="114300" distR="114300" wp14:anchorId="347AD7C5" wp14:editId="18F4FCFB">
            <wp:extent cx="5760410" cy="1485900"/>
            <wp:effectExtent l="0" t="0" r="0" b="0"/>
            <wp:docPr id="1692091605" name="image4.png" descr="Uma imagem contendo Tabela&#10;&#10;Descrição gerada automaticamente"/>
            <wp:cNvGraphicFramePr/>
            <a:graphic xmlns:a="http://schemas.openxmlformats.org/drawingml/2006/main">
              <a:graphicData uri="http://schemas.openxmlformats.org/drawingml/2006/picture">
                <pic:pic xmlns:pic="http://schemas.openxmlformats.org/drawingml/2006/picture">
                  <pic:nvPicPr>
                    <pic:cNvPr id="1692091605" name="image4.png" descr="Uma imagem contendo Tabela&#10;&#10;Descrição gerada automaticamente"/>
                    <pic:cNvPicPr preferRelativeResize="0"/>
                  </pic:nvPicPr>
                  <pic:blipFill>
                    <a:blip r:embed="rId22"/>
                    <a:srcRect/>
                    <a:stretch>
                      <a:fillRect/>
                    </a:stretch>
                  </pic:blipFill>
                  <pic:spPr>
                    <a:xfrm>
                      <a:off x="0" y="0"/>
                      <a:ext cx="5760410" cy="1485900"/>
                    </a:xfrm>
                    <a:prstGeom prst="rect">
                      <a:avLst/>
                    </a:prstGeom>
                    <a:ln/>
                  </pic:spPr>
                </pic:pic>
              </a:graphicData>
            </a:graphic>
          </wp:inline>
        </w:drawing>
      </w:r>
    </w:p>
    <w:p w14:paraId="0D387ADE" w14:textId="77777777" w:rsidR="007D5BD1" w:rsidRDefault="007D5BD1" w:rsidP="008629A3">
      <w:pPr>
        <w:spacing w:line="240" w:lineRule="auto"/>
        <w:rPr>
          <w:rFonts w:ascii="Calibri" w:hAnsi="Calibri" w:cs="Calibri"/>
          <w:b/>
          <w:sz w:val="24"/>
          <w:szCs w:val="24"/>
          <w:highlight w:val="white"/>
        </w:rPr>
      </w:pPr>
    </w:p>
    <w:p w14:paraId="6629C8DD" w14:textId="77777777" w:rsidR="007D5BD1" w:rsidRDefault="007D5BD1" w:rsidP="008629A3">
      <w:pPr>
        <w:spacing w:line="240" w:lineRule="auto"/>
        <w:rPr>
          <w:rFonts w:ascii="Calibri" w:hAnsi="Calibri" w:cs="Calibri"/>
          <w:b/>
          <w:sz w:val="24"/>
          <w:szCs w:val="24"/>
          <w:highlight w:val="white"/>
        </w:rPr>
      </w:pPr>
    </w:p>
    <w:p w14:paraId="31AFA58B" w14:textId="2E5F7034" w:rsidR="008629A3" w:rsidRPr="00ED5B1F" w:rsidRDefault="008629A3" w:rsidP="00853BD4">
      <w:pPr>
        <w:spacing w:line="240" w:lineRule="auto"/>
        <w:jc w:val="both"/>
        <w:rPr>
          <w:rFonts w:ascii="Calibri" w:hAnsi="Calibri" w:cs="Calibri"/>
          <w:color w:val="000000"/>
          <w:sz w:val="24"/>
          <w:szCs w:val="24"/>
          <w:highlight w:val="white"/>
        </w:rPr>
      </w:pPr>
      <w:r w:rsidRPr="00ED5B1F">
        <w:rPr>
          <w:rFonts w:ascii="Calibri" w:hAnsi="Calibri" w:cs="Calibri"/>
          <w:b/>
          <w:sz w:val="24"/>
          <w:szCs w:val="24"/>
          <w:highlight w:val="white"/>
        </w:rPr>
        <w:t>Step 1- Commodity &amp; Region:</w:t>
      </w:r>
      <w:r w:rsidRPr="00ED5B1F">
        <w:rPr>
          <w:rFonts w:ascii="Calibri" w:hAnsi="Calibri" w:cs="Calibri"/>
          <w:color w:val="000000"/>
          <w:sz w:val="24"/>
          <w:szCs w:val="24"/>
          <w:highlight w:val="white"/>
        </w:rPr>
        <w:t xml:space="preserve"> </w:t>
      </w:r>
      <w:r w:rsidRPr="00ED5B1F">
        <w:rPr>
          <w:rFonts w:ascii="Calibri" w:hAnsi="Calibri" w:cs="Calibri"/>
          <w:sz w:val="24"/>
          <w:szCs w:val="24"/>
          <w:highlight w:val="white"/>
        </w:rPr>
        <w:t xml:space="preserve">The commodity listed here is sugarcane and will not need any adjustment. The region may be chosen based on the region that best matches the geography where the sugarcane is sourced from. More information on the 26 regions + world average can be found by following </w:t>
      </w:r>
      <w:r w:rsidRPr="00ED5B1F">
        <w:rPr>
          <w:rFonts w:ascii="Calibri" w:hAnsi="Calibri" w:cs="Calibri"/>
          <w:color w:val="4472C4" w:themeColor="accent1"/>
          <w:sz w:val="24"/>
          <w:szCs w:val="24"/>
          <w:highlight w:val="white"/>
          <w:u w:val="single"/>
        </w:rPr>
        <w:t>this</w:t>
      </w:r>
      <w:hyperlink r:id="rId23">
        <w:r w:rsidRPr="00ED5B1F">
          <w:rPr>
            <w:rFonts w:ascii="Calibri" w:hAnsi="Calibri" w:cs="Calibri"/>
            <w:color w:val="4472C4" w:themeColor="accent1"/>
            <w:sz w:val="24"/>
            <w:szCs w:val="24"/>
            <w:highlight w:val="white"/>
            <w:u w:val="single"/>
          </w:rPr>
          <w:t xml:space="preserve"> link</w:t>
        </w:r>
      </w:hyperlink>
      <w:r w:rsidRPr="00ED5B1F">
        <w:rPr>
          <w:rFonts w:ascii="Calibri" w:hAnsi="Calibri" w:cs="Calibri"/>
          <w:color w:val="4472C4" w:themeColor="accent1"/>
          <w:sz w:val="24"/>
          <w:szCs w:val="24"/>
          <w:highlight w:val="white"/>
          <w:u w:val="single"/>
        </w:rPr>
        <w:t>.</w:t>
      </w:r>
    </w:p>
    <w:p w14:paraId="3A6E91B3" w14:textId="77777777" w:rsidR="008629A3" w:rsidRPr="00ED5B1F" w:rsidRDefault="008629A3" w:rsidP="00853BD4">
      <w:pPr>
        <w:pBdr>
          <w:top w:val="nil"/>
          <w:left w:val="nil"/>
          <w:bottom w:val="nil"/>
          <w:right w:val="nil"/>
          <w:between w:val="nil"/>
        </w:pBdr>
        <w:spacing w:line="240" w:lineRule="auto"/>
        <w:jc w:val="both"/>
        <w:rPr>
          <w:rFonts w:ascii="Calibri" w:hAnsi="Calibri" w:cs="Calibri"/>
          <w:color w:val="000000"/>
          <w:sz w:val="24"/>
          <w:szCs w:val="24"/>
          <w:highlight w:val="white"/>
        </w:rPr>
      </w:pPr>
    </w:p>
    <w:p w14:paraId="3ED84F74" w14:textId="77777777"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b/>
          <w:sz w:val="24"/>
          <w:szCs w:val="24"/>
          <w:highlight w:val="white"/>
        </w:rPr>
        <w:t>Step 2- Base Year (BY) &amp; Target Year (TY):</w:t>
      </w:r>
      <w:r w:rsidRPr="00ED5B1F">
        <w:rPr>
          <w:rFonts w:ascii="Calibri" w:hAnsi="Calibri" w:cs="Calibri"/>
          <w:sz w:val="24"/>
          <w:szCs w:val="24"/>
          <w:highlight w:val="white"/>
        </w:rPr>
        <w:t xml:space="preserve"> The base and target years can be selected based on criteria outlined in the section titled </w:t>
      </w:r>
      <w:r w:rsidRPr="009A4689">
        <w:rPr>
          <w:rFonts w:ascii="Calibri" w:hAnsi="Calibri" w:cs="Calibri"/>
          <w:i/>
          <w:iCs/>
          <w:sz w:val="24"/>
          <w:szCs w:val="24"/>
          <w:highlight w:val="white"/>
        </w:rPr>
        <w:t>Requirements for setting science-based targets</w:t>
      </w:r>
      <w:r w:rsidRPr="00ED5B1F">
        <w:rPr>
          <w:rFonts w:ascii="Calibri" w:hAnsi="Calibri" w:cs="Calibri"/>
          <w:sz w:val="24"/>
          <w:szCs w:val="24"/>
          <w:highlight w:val="white"/>
        </w:rPr>
        <w:t>. A base year must be selected to be consistent with other FLAG targets previously set by a company. The target year may be determined by the decision to set a near term (5-10 years) or long-term (TY = 2050) target. </w:t>
      </w:r>
    </w:p>
    <w:p w14:paraId="0B6CDD4D" w14:textId="77777777" w:rsidR="008629A3" w:rsidRPr="00ED5B1F" w:rsidRDefault="008629A3" w:rsidP="00853BD4">
      <w:pPr>
        <w:spacing w:line="240" w:lineRule="auto"/>
        <w:jc w:val="both"/>
        <w:rPr>
          <w:rFonts w:ascii="Calibri" w:hAnsi="Calibri" w:cs="Calibri"/>
          <w:sz w:val="24"/>
          <w:szCs w:val="24"/>
          <w:highlight w:val="white"/>
        </w:rPr>
      </w:pPr>
    </w:p>
    <w:p w14:paraId="6A728360" w14:textId="77777777" w:rsidR="008629A3" w:rsidRDefault="008629A3" w:rsidP="00853BD4">
      <w:pPr>
        <w:spacing w:line="240" w:lineRule="auto"/>
        <w:jc w:val="both"/>
        <w:rPr>
          <w:rFonts w:ascii="Calibri" w:hAnsi="Calibri" w:cs="Calibri"/>
          <w:sz w:val="24"/>
          <w:szCs w:val="24"/>
          <w:highlight w:val="white"/>
        </w:rPr>
      </w:pPr>
      <w:r w:rsidRPr="00ED5B1F">
        <w:rPr>
          <w:rFonts w:ascii="Calibri" w:hAnsi="Calibri" w:cs="Calibri"/>
          <w:b/>
          <w:sz w:val="24"/>
          <w:szCs w:val="24"/>
          <w:highlight w:val="white"/>
        </w:rPr>
        <w:lastRenderedPageBreak/>
        <w:t>Step 3- Production BY &amp; Production TY:</w:t>
      </w:r>
      <w:r w:rsidRPr="00ED5B1F">
        <w:rPr>
          <w:rFonts w:ascii="Calibri" w:hAnsi="Calibri" w:cs="Calibri"/>
          <w:sz w:val="24"/>
          <w:szCs w:val="24"/>
          <w:highlight w:val="white"/>
        </w:rPr>
        <w:t xml:space="preserve"> These values are the total amount of sugarcane in t of fresh weight sourced from a given region in the selected baseline year or target year. The baseline data may be found in a corporate footprint or may be derived from the output summary tab of the </w:t>
      </w:r>
      <w:proofErr w:type="spellStart"/>
      <w:r w:rsidRPr="00ED5B1F">
        <w:rPr>
          <w:rFonts w:ascii="Calibri" w:hAnsi="Calibri" w:cs="Calibri"/>
          <w:sz w:val="24"/>
          <w:szCs w:val="24"/>
          <w:highlight w:val="white"/>
        </w:rPr>
        <w:t>Bonsucro</w:t>
      </w:r>
      <w:proofErr w:type="spellEnd"/>
      <w:r w:rsidRPr="00ED5B1F">
        <w:rPr>
          <w:rFonts w:ascii="Calibri" w:hAnsi="Calibri" w:cs="Calibri"/>
          <w:sz w:val="24"/>
          <w:szCs w:val="24"/>
          <w:highlight w:val="white"/>
        </w:rPr>
        <w:t xml:space="preserve"> calculator.  The target year data may be determined by long-term sourcing or growth targets forecasted by the company.</w:t>
      </w:r>
    </w:p>
    <w:p w14:paraId="2C4DAFF4" w14:textId="2E4EAAD4" w:rsidR="00F906D4" w:rsidRPr="00E04545" w:rsidRDefault="00F906D4" w:rsidP="00AC2375">
      <w:pPr>
        <w:spacing w:line="240" w:lineRule="auto"/>
        <w:jc w:val="both"/>
        <w:rPr>
          <w:rFonts w:ascii="Calibri" w:hAnsi="Calibri" w:cs="Calibri"/>
          <w:sz w:val="24"/>
          <w:szCs w:val="24"/>
        </w:rPr>
      </w:pPr>
      <w:r w:rsidRPr="00E04545">
        <w:rPr>
          <w:rFonts w:ascii="Calibri" w:hAnsi="Calibri" w:cs="Calibri"/>
          <w:sz w:val="24"/>
          <w:szCs w:val="24"/>
        </w:rPr>
        <w:t>If volumes of sugarcane derived co-products (</w:t>
      </w:r>
      <w:proofErr w:type="spellStart"/>
      <w:r w:rsidRPr="00E04545">
        <w:rPr>
          <w:rFonts w:ascii="Calibri" w:hAnsi="Calibri" w:cs="Calibri"/>
          <w:sz w:val="24"/>
          <w:szCs w:val="24"/>
        </w:rPr>
        <w:t>eg</w:t>
      </w:r>
      <w:proofErr w:type="spellEnd"/>
      <w:r w:rsidRPr="00E04545">
        <w:rPr>
          <w:rFonts w:ascii="Calibri" w:hAnsi="Calibri" w:cs="Calibri"/>
          <w:sz w:val="24"/>
          <w:szCs w:val="24"/>
        </w:rPr>
        <w:t xml:space="preserve">, raw or refined cane sugar, molasses or ethanol) are sourced in place of sugarcane, it is important to convert these volumes to match their raw cane volume needed for the tool. As milling and refinery processes for each individual product may vary across geographies, users of the tool may look to suppliers to provide raw cane equivalencies for individual products. With these values in hand a user can convert their volumes using the following equation. </w:t>
      </w:r>
    </w:p>
    <w:p w14:paraId="27F0395A" w14:textId="77777777" w:rsidR="00F906D4" w:rsidRPr="00E04545" w:rsidRDefault="00F906D4" w:rsidP="00F906D4">
      <w:pPr>
        <w:spacing w:line="240" w:lineRule="auto"/>
      </w:pPr>
    </w:p>
    <w:p w14:paraId="44AF8CA6" w14:textId="77777777" w:rsidR="00444994" w:rsidRPr="00E04545" w:rsidRDefault="00444994" w:rsidP="00444994">
      <w:pPr>
        <w:widowControl/>
        <w:suppressAutoHyphens w:val="0"/>
        <w:autoSpaceDE/>
        <w:autoSpaceDN/>
        <w:adjustRightInd/>
        <w:spacing w:line="240" w:lineRule="auto"/>
        <w:jc w:val="both"/>
        <w:textAlignment w:val="auto"/>
        <w:rPr>
          <w:rFonts w:ascii="Calibri Light" w:eastAsia="Calibri" w:hAnsi="Calibri Light" w:cs="Calibri"/>
          <w:color w:val="auto"/>
          <w:sz w:val="20"/>
          <w:szCs w:val="20"/>
          <w:lang w:val="en-US" w:eastAsia="en-US"/>
        </w:rPr>
      </w:pPr>
      <m:oMathPara>
        <m:oMath>
          <m:r>
            <w:rPr>
              <w:rFonts w:ascii="Cambria Math" w:eastAsia="Calibri" w:hAnsi="Cambria Math" w:cs="Calibri"/>
              <w:color w:val="auto"/>
              <w:sz w:val="20"/>
              <w:szCs w:val="20"/>
              <w:lang w:val="en-US" w:eastAsia="en-US"/>
            </w:rPr>
            <m:t xml:space="preserve">Raw sugarcane volume (kg) =Sugarcane derivative volume sourced (kg or l) * </m:t>
          </m:r>
          <m:f>
            <m:fPr>
              <m:ctrlPr>
                <w:rPr>
                  <w:rFonts w:ascii="Cambria Math" w:eastAsia="Calibri" w:hAnsi="Cambria Math" w:cs="Calibri"/>
                  <w:color w:val="auto"/>
                  <w:sz w:val="20"/>
                  <w:szCs w:val="20"/>
                  <w:lang w:val="en-US" w:eastAsia="en-US"/>
                </w:rPr>
              </m:ctrlPr>
            </m:fPr>
            <m:num>
              <m:r>
                <w:rPr>
                  <w:rFonts w:ascii="Cambria Math" w:eastAsia="Calibri" w:hAnsi="Cambria Math" w:cs="Calibri"/>
                  <w:color w:val="auto"/>
                  <w:sz w:val="20"/>
                  <w:szCs w:val="20"/>
                  <w:lang w:val="en-US" w:eastAsia="en-US"/>
                </w:rPr>
                <m:t xml:space="preserve">x kg Sugarcane </m:t>
              </m:r>
            </m:num>
            <m:den>
              <m:r>
                <w:rPr>
                  <w:rFonts w:ascii="Cambria Math" w:eastAsia="Calibri" w:hAnsi="Cambria Math" w:cs="Calibri"/>
                  <w:color w:val="auto"/>
                  <w:sz w:val="20"/>
                  <w:szCs w:val="20"/>
                  <w:lang w:val="en-US" w:eastAsia="en-US"/>
                </w:rPr>
                <m:t>1 (kg or l) sugarcane derivative</m:t>
              </m:r>
            </m:den>
          </m:f>
        </m:oMath>
      </m:oMathPara>
    </w:p>
    <w:p w14:paraId="5B15D9FD" w14:textId="77777777" w:rsidR="00496645" w:rsidRPr="00E04545" w:rsidRDefault="00496645" w:rsidP="00F906D4">
      <w:pPr>
        <w:spacing w:line="240" w:lineRule="auto"/>
        <w:rPr>
          <w:sz w:val="20"/>
          <w:szCs w:val="20"/>
        </w:rPr>
      </w:pPr>
    </w:p>
    <w:p w14:paraId="0EA1E5B1" w14:textId="77777777" w:rsidR="00F906D4" w:rsidRPr="00E04545" w:rsidRDefault="00F906D4" w:rsidP="00F906D4">
      <w:pPr>
        <w:spacing w:line="240" w:lineRule="auto"/>
        <w:rPr>
          <w:rFonts w:ascii="Calibri" w:hAnsi="Calibri" w:cs="Calibri"/>
          <w:sz w:val="24"/>
          <w:szCs w:val="24"/>
        </w:rPr>
      </w:pPr>
      <w:r w:rsidRPr="00E04545">
        <w:rPr>
          <w:rFonts w:ascii="Calibri" w:hAnsi="Calibri" w:cs="Calibri"/>
          <w:sz w:val="24"/>
          <w:szCs w:val="24"/>
        </w:rPr>
        <w:t xml:space="preserve">According to the USDA, a tonne of sugarcane may yield 10-15% in raw sugar by weight, and roughly 80 </w:t>
      </w:r>
      <w:proofErr w:type="spellStart"/>
      <w:r w:rsidRPr="00E04545">
        <w:rPr>
          <w:rFonts w:ascii="Calibri" w:hAnsi="Calibri" w:cs="Calibri"/>
          <w:sz w:val="24"/>
          <w:szCs w:val="24"/>
        </w:rPr>
        <w:t>liters</w:t>
      </w:r>
      <w:proofErr w:type="spellEnd"/>
      <w:r w:rsidRPr="00E04545">
        <w:rPr>
          <w:rFonts w:ascii="Calibri" w:hAnsi="Calibri" w:cs="Calibri"/>
          <w:sz w:val="24"/>
          <w:szCs w:val="24"/>
        </w:rPr>
        <w:t xml:space="preserve"> of ethanol (</w:t>
      </w:r>
      <w:proofErr w:type="spellStart"/>
      <w:r w:rsidRPr="00E04545">
        <w:rPr>
          <w:rFonts w:ascii="Calibri" w:hAnsi="Calibri" w:cs="Calibri"/>
          <w:sz w:val="24"/>
          <w:szCs w:val="24"/>
        </w:rPr>
        <w:t>Shapouri</w:t>
      </w:r>
      <w:proofErr w:type="spellEnd"/>
      <w:r w:rsidRPr="00E04545">
        <w:rPr>
          <w:rFonts w:ascii="Calibri" w:hAnsi="Calibri" w:cs="Calibri"/>
          <w:sz w:val="24"/>
          <w:szCs w:val="24"/>
        </w:rPr>
        <w:t xml:space="preserve"> &amp; </w:t>
      </w:r>
      <w:proofErr w:type="spellStart"/>
      <w:r w:rsidRPr="00E04545">
        <w:rPr>
          <w:rFonts w:ascii="Calibri" w:hAnsi="Calibri" w:cs="Calibri"/>
          <w:sz w:val="24"/>
          <w:szCs w:val="24"/>
        </w:rPr>
        <w:t>Salassi</w:t>
      </w:r>
      <w:proofErr w:type="spellEnd"/>
      <w:r w:rsidRPr="00E04545">
        <w:rPr>
          <w:rFonts w:ascii="Calibri" w:hAnsi="Calibri" w:cs="Calibri"/>
          <w:sz w:val="24"/>
          <w:szCs w:val="24"/>
        </w:rPr>
        <w:t xml:space="preserve">, 2006). </w:t>
      </w:r>
    </w:p>
    <w:p w14:paraId="4626E0C0" w14:textId="77777777" w:rsidR="008629A3" w:rsidRPr="00ED5B1F" w:rsidRDefault="008629A3" w:rsidP="008629A3">
      <w:pPr>
        <w:spacing w:line="240" w:lineRule="auto"/>
        <w:rPr>
          <w:rFonts w:ascii="Calibri" w:hAnsi="Calibri" w:cs="Calibri"/>
          <w:sz w:val="24"/>
          <w:szCs w:val="24"/>
          <w:highlight w:val="white"/>
        </w:rPr>
      </w:pPr>
    </w:p>
    <w:p w14:paraId="5C890EA6" w14:textId="54996810"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b/>
          <w:sz w:val="24"/>
          <w:szCs w:val="24"/>
          <w:highlight w:val="white"/>
        </w:rPr>
        <w:t>Step 4- Land Management Emissions, LUC Emissions &amp; Removals Intensity:</w:t>
      </w:r>
      <w:r w:rsidRPr="00ED5B1F">
        <w:rPr>
          <w:rFonts w:ascii="Calibri" w:hAnsi="Calibri" w:cs="Calibri"/>
          <w:sz w:val="24"/>
          <w:szCs w:val="24"/>
          <w:highlight w:val="white"/>
        </w:rPr>
        <w:t xml:space="preserve"> The data points and scope for these three rows are captured in Figure 1</w:t>
      </w:r>
      <w:r w:rsidR="00472DB6">
        <w:rPr>
          <w:rFonts w:ascii="Calibri" w:hAnsi="Calibri" w:cs="Calibri"/>
          <w:sz w:val="24"/>
          <w:szCs w:val="24"/>
          <w:highlight w:val="white"/>
        </w:rPr>
        <w:t xml:space="preserve"> below</w:t>
      </w:r>
      <w:r w:rsidRPr="00ED5B1F">
        <w:rPr>
          <w:rFonts w:ascii="Calibri" w:hAnsi="Calibri" w:cs="Calibri"/>
          <w:sz w:val="24"/>
          <w:szCs w:val="24"/>
          <w:highlight w:val="white"/>
        </w:rPr>
        <w:t xml:space="preserve">. If total emissions are known, these can be entered directly into the cells corresponding to the correct geography. If only emissions intensities per tonne of sugar cane are known for a given region, these values may be multiplied by the total sourced cane to determine the total emissions for each category. Data for Land Management and LUC emissions per tonne of cane are provided in cells C211 and C217, respectively, in the P3 Agric Tab of the </w:t>
      </w:r>
      <w:proofErr w:type="spellStart"/>
      <w:r w:rsidRPr="00ED5B1F">
        <w:rPr>
          <w:rFonts w:ascii="Calibri" w:hAnsi="Calibri" w:cs="Calibri"/>
          <w:sz w:val="24"/>
          <w:szCs w:val="24"/>
          <w:highlight w:val="white"/>
        </w:rPr>
        <w:t>Bonsucro</w:t>
      </w:r>
      <w:proofErr w:type="spellEnd"/>
      <w:r w:rsidRPr="00ED5B1F">
        <w:rPr>
          <w:rFonts w:ascii="Calibri" w:hAnsi="Calibri" w:cs="Calibri"/>
          <w:sz w:val="24"/>
          <w:szCs w:val="24"/>
          <w:highlight w:val="white"/>
        </w:rPr>
        <w:t xml:space="preserve"> Calculator (V5.1.4). If not using emissions data from the </w:t>
      </w:r>
      <w:proofErr w:type="spellStart"/>
      <w:r w:rsidRPr="00ED5B1F">
        <w:rPr>
          <w:rFonts w:ascii="Calibri" w:hAnsi="Calibri" w:cs="Calibri"/>
          <w:sz w:val="24"/>
          <w:szCs w:val="24"/>
          <w:highlight w:val="white"/>
        </w:rPr>
        <w:t>Bonsucro</w:t>
      </w:r>
      <w:proofErr w:type="spellEnd"/>
      <w:r w:rsidRPr="00ED5B1F">
        <w:rPr>
          <w:rFonts w:ascii="Calibri" w:hAnsi="Calibri" w:cs="Calibri"/>
          <w:sz w:val="24"/>
          <w:szCs w:val="24"/>
          <w:highlight w:val="white"/>
        </w:rPr>
        <w:t xml:space="preserve"> Calculator, it is important to check if the emissions data used includes LUC as required by SBTi. Also, a key step is to disaggregate any emissions data based on the amounts from LUC and Land Management. However, if any of this information is unknown, the cells may be left blank, and default values will be used. </w:t>
      </w:r>
    </w:p>
    <w:p w14:paraId="1103DB89" w14:textId="77777777" w:rsidR="008629A3" w:rsidRPr="00ED5B1F" w:rsidRDefault="008629A3" w:rsidP="00853BD4">
      <w:pPr>
        <w:spacing w:line="240" w:lineRule="auto"/>
        <w:jc w:val="both"/>
        <w:rPr>
          <w:rFonts w:ascii="Calibri" w:hAnsi="Calibri" w:cs="Calibri"/>
          <w:sz w:val="24"/>
          <w:szCs w:val="24"/>
          <w:highlight w:val="white"/>
        </w:rPr>
      </w:pPr>
    </w:p>
    <w:p w14:paraId="5C09D974" w14:textId="77777777" w:rsidR="008629A3" w:rsidRPr="00ED5B1F" w:rsidRDefault="008629A3" w:rsidP="00853BD4">
      <w:pPr>
        <w:spacing w:line="240" w:lineRule="auto"/>
        <w:jc w:val="both"/>
        <w:rPr>
          <w:rFonts w:ascii="Calibri" w:hAnsi="Calibri" w:cs="Calibri"/>
          <w:sz w:val="24"/>
          <w:szCs w:val="24"/>
          <w:highlight w:val="white"/>
        </w:rPr>
      </w:pPr>
      <w:r w:rsidRPr="00ED5B1F">
        <w:rPr>
          <w:rFonts w:ascii="Calibri" w:hAnsi="Calibri" w:cs="Calibri"/>
          <w:b/>
          <w:sz w:val="24"/>
          <w:szCs w:val="24"/>
          <w:highlight w:val="white"/>
        </w:rPr>
        <w:t>Step 5- Total Emissions:</w:t>
      </w:r>
      <w:r w:rsidRPr="00ED5B1F">
        <w:rPr>
          <w:rFonts w:ascii="Calibri" w:hAnsi="Calibri" w:cs="Calibri"/>
          <w:sz w:val="24"/>
          <w:szCs w:val="24"/>
          <w:highlight w:val="white"/>
        </w:rPr>
        <w:t xml:space="preserve"> This is the sum of the baseline emissions from Land Management Emissions, LUC Emissions &amp; Removals Intensity.</w:t>
      </w:r>
    </w:p>
    <w:p w14:paraId="00E82A4F" w14:textId="77777777" w:rsidR="008629A3" w:rsidRPr="00ED5B1F" w:rsidRDefault="008629A3" w:rsidP="00853BD4">
      <w:pPr>
        <w:spacing w:line="240" w:lineRule="auto"/>
        <w:jc w:val="both"/>
        <w:rPr>
          <w:rFonts w:ascii="Calibri" w:hAnsi="Calibri" w:cs="Calibri"/>
          <w:sz w:val="24"/>
          <w:szCs w:val="24"/>
          <w:highlight w:val="white"/>
        </w:rPr>
      </w:pPr>
    </w:p>
    <w:p w14:paraId="65ABD324" w14:textId="77777777" w:rsidR="008629A3" w:rsidRPr="00ED5B1F" w:rsidRDefault="008629A3" w:rsidP="008629A3">
      <w:pPr>
        <w:pBdr>
          <w:top w:val="nil"/>
          <w:left w:val="nil"/>
          <w:bottom w:val="nil"/>
          <w:right w:val="nil"/>
          <w:between w:val="nil"/>
        </w:pBdr>
        <w:spacing w:line="240" w:lineRule="auto"/>
        <w:rPr>
          <w:rFonts w:ascii="Calibri" w:hAnsi="Calibri" w:cs="Calibri"/>
          <w:b/>
          <w:sz w:val="24"/>
          <w:szCs w:val="24"/>
          <w:highlight w:val="white"/>
        </w:rPr>
      </w:pPr>
      <w:r w:rsidRPr="00ED5B1F">
        <w:rPr>
          <w:rFonts w:ascii="Calibri" w:hAnsi="Calibri" w:cs="Calibri"/>
          <w:b/>
          <w:sz w:val="24"/>
          <w:szCs w:val="24"/>
          <w:highlight w:val="white"/>
        </w:rPr>
        <w:t>Interpreting Results</w:t>
      </w:r>
    </w:p>
    <w:p w14:paraId="0BCFFFFF" w14:textId="77777777" w:rsidR="008629A3" w:rsidRPr="00ED5B1F" w:rsidRDefault="008629A3" w:rsidP="008629A3">
      <w:pPr>
        <w:pBdr>
          <w:top w:val="nil"/>
          <w:left w:val="nil"/>
          <w:bottom w:val="nil"/>
          <w:right w:val="nil"/>
          <w:between w:val="nil"/>
        </w:pBdr>
        <w:spacing w:line="240" w:lineRule="auto"/>
        <w:rPr>
          <w:rFonts w:ascii="Calibri" w:hAnsi="Calibri" w:cs="Calibri"/>
          <w:b/>
          <w:color w:val="000000"/>
          <w:sz w:val="24"/>
          <w:szCs w:val="24"/>
          <w:highlight w:val="white"/>
        </w:rPr>
      </w:pPr>
    </w:p>
    <w:p w14:paraId="459C9880" w14:textId="77777777" w:rsidR="008629A3" w:rsidRPr="00ED5B1F"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With this information </w:t>
      </w:r>
      <w:proofErr w:type="gramStart"/>
      <w:r w:rsidRPr="00ED5B1F">
        <w:rPr>
          <w:rFonts w:ascii="Calibri" w:hAnsi="Calibri" w:cs="Calibri"/>
          <w:sz w:val="24"/>
          <w:szCs w:val="24"/>
          <w:highlight w:val="white"/>
        </w:rPr>
        <w:t>entered into</w:t>
      </w:r>
      <w:proofErr w:type="gramEnd"/>
      <w:r w:rsidRPr="00ED5B1F">
        <w:rPr>
          <w:rFonts w:ascii="Calibri" w:hAnsi="Calibri" w:cs="Calibri"/>
          <w:sz w:val="24"/>
          <w:szCs w:val="24"/>
          <w:highlight w:val="white"/>
        </w:rPr>
        <w:t xml:space="preserve"> the correct columns, the tool will generate results for the emissions intensities in the given target year for each region under study. The results of the calculation are given in the form of Emissions Intensities broken out into Land Management, LUC, and Removals, as well as Net Emissions with and Without Removals included. </w:t>
      </w:r>
    </w:p>
    <w:p w14:paraId="23934F8D" w14:textId="77777777" w:rsidR="008629A3"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p>
    <w:p w14:paraId="0AA89A7B" w14:textId="77777777" w:rsidR="003B4A20" w:rsidRDefault="003B4A20" w:rsidP="00853BD4">
      <w:pPr>
        <w:pBdr>
          <w:top w:val="nil"/>
          <w:left w:val="nil"/>
          <w:bottom w:val="nil"/>
          <w:right w:val="nil"/>
          <w:between w:val="nil"/>
        </w:pBdr>
        <w:spacing w:line="240" w:lineRule="auto"/>
        <w:jc w:val="both"/>
        <w:rPr>
          <w:rFonts w:ascii="Calibri" w:hAnsi="Calibri" w:cs="Calibri"/>
          <w:sz w:val="24"/>
          <w:szCs w:val="24"/>
          <w:highlight w:val="white"/>
        </w:rPr>
      </w:pPr>
    </w:p>
    <w:p w14:paraId="51E041CF" w14:textId="77777777" w:rsidR="003B4A20" w:rsidRDefault="003B4A20" w:rsidP="00853BD4">
      <w:pPr>
        <w:pBdr>
          <w:top w:val="nil"/>
          <w:left w:val="nil"/>
          <w:bottom w:val="nil"/>
          <w:right w:val="nil"/>
          <w:between w:val="nil"/>
        </w:pBdr>
        <w:spacing w:line="240" w:lineRule="auto"/>
        <w:jc w:val="both"/>
        <w:rPr>
          <w:rFonts w:ascii="Calibri" w:hAnsi="Calibri" w:cs="Calibri"/>
          <w:sz w:val="24"/>
          <w:szCs w:val="24"/>
          <w:highlight w:val="white"/>
        </w:rPr>
      </w:pPr>
    </w:p>
    <w:p w14:paraId="7858ADF1" w14:textId="15492BEF" w:rsidR="00472DB6" w:rsidRPr="00ED5B1F" w:rsidRDefault="00472DB6" w:rsidP="00472DB6">
      <w:pPr>
        <w:pBdr>
          <w:top w:val="nil"/>
          <w:left w:val="nil"/>
          <w:bottom w:val="nil"/>
          <w:right w:val="nil"/>
          <w:between w:val="nil"/>
        </w:pBdr>
        <w:spacing w:line="240" w:lineRule="auto"/>
        <w:jc w:val="center"/>
        <w:rPr>
          <w:rFonts w:ascii="Calibri" w:hAnsi="Calibri" w:cs="Calibri"/>
          <w:sz w:val="24"/>
          <w:szCs w:val="24"/>
          <w:highlight w:val="white"/>
        </w:rPr>
      </w:pPr>
      <w:r>
        <w:rPr>
          <w:rFonts w:ascii="Calibri" w:hAnsi="Calibri" w:cs="Calibri"/>
          <w:sz w:val="24"/>
          <w:szCs w:val="24"/>
          <w:highlight w:val="white"/>
        </w:rPr>
        <w:lastRenderedPageBreak/>
        <w:t>Figure 1</w:t>
      </w:r>
      <w:r w:rsidR="00C92A1B">
        <w:rPr>
          <w:rFonts w:ascii="Calibri" w:hAnsi="Calibri" w:cs="Calibri"/>
          <w:sz w:val="24"/>
          <w:szCs w:val="24"/>
          <w:highlight w:val="white"/>
        </w:rPr>
        <w:t xml:space="preserve"> – Data points and scope</w:t>
      </w:r>
    </w:p>
    <w:p w14:paraId="655FA106" w14:textId="475018D1" w:rsidR="008629A3" w:rsidRPr="00ED5B1F" w:rsidRDefault="00B26783" w:rsidP="008629A3">
      <w:pPr>
        <w:pBdr>
          <w:top w:val="nil"/>
          <w:left w:val="nil"/>
          <w:bottom w:val="nil"/>
          <w:right w:val="nil"/>
          <w:between w:val="nil"/>
        </w:pBdr>
        <w:spacing w:line="240" w:lineRule="auto"/>
        <w:rPr>
          <w:rFonts w:ascii="Calibri" w:hAnsi="Calibri" w:cs="Calibri"/>
          <w:sz w:val="24"/>
          <w:szCs w:val="24"/>
          <w:highlight w:val="white"/>
          <w14:shadow w14:blurRad="78689" w14:dist="50800" w14:dir="5400000" w14:sx="0" w14:sy="0" w14:kx="0" w14:ky="0" w14:algn="ctr">
            <w14:schemeClr w14:val="bg2">
              <w14:lumMod w14:val="90000"/>
            </w14:schemeClr>
          </w14:shadow>
        </w:rPr>
      </w:pPr>
      <w:r w:rsidRPr="00B26783">
        <w:rPr>
          <w:rFonts w:ascii="Calibri" w:hAnsi="Calibri" w:cs="Calibri"/>
          <w:noProof/>
          <w:sz w:val="24"/>
          <w:szCs w:val="24"/>
          <w14:shadow w14:blurRad="78689" w14:dist="50800" w14:dir="5400000" w14:sx="0" w14:sy="0" w14:kx="0" w14:ky="0" w14:algn="ctr">
            <w14:schemeClr w14:val="bg2">
              <w14:lumMod w14:val="90000"/>
            </w14:schemeClr>
          </w14:shadow>
        </w:rPr>
        <w:drawing>
          <wp:inline distT="0" distB="0" distL="0" distR="0" wp14:anchorId="66D4E9F9" wp14:editId="4A5B3858">
            <wp:extent cx="5731510" cy="516255"/>
            <wp:effectExtent l="0" t="0" r="0" b="4445"/>
            <wp:docPr id="588031479"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8031479" name=""/>
                    <pic:cNvPicPr/>
                  </pic:nvPicPr>
                  <pic:blipFill>
                    <a:blip r:embed="rId24"/>
                    <a:stretch>
                      <a:fillRect/>
                    </a:stretch>
                  </pic:blipFill>
                  <pic:spPr>
                    <a:xfrm>
                      <a:off x="0" y="0"/>
                      <a:ext cx="5731510" cy="516255"/>
                    </a:xfrm>
                    <a:prstGeom prst="rect">
                      <a:avLst/>
                    </a:prstGeom>
                  </pic:spPr>
                </pic:pic>
              </a:graphicData>
            </a:graphic>
          </wp:inline>
        </w:drawing>
      </w:r>
    </w:p>
    <w:p w14:paraId="20B143FD" w14:textId="77777777" w:rsidR="008629A3" w:rsidRPr="00ED5B1F" w:rsidRDefault="008629A3" w:rsidP="008629A3">
      <w:pPr>
        <w:pBdr>
          <w:top w:val="nil"/>
          <w:left w:val="nil"/>
          <w:bottom w:val="nil"/>
          <w:right w:val="nil"/>
          <w:between w:val="nil"/>
        </w:pBdr>
        <w:spacing w:line="240" w:lineRule="auto"/>
        <w:rPr>
          <w:rFonts w:ascii="Calibri" w:hAnsi="Calibri" w:cs="Calibri"/>
          <w:sz w:val="24"/>
          <w:szCs w:val="24"/>
          <w:highlight w:val="white"/>
        </w:rPr>
      </w:pPr>
    </w:p>
    <w:p w14:paraId="3CCB7DB4" w14:textId="32DD7DA9" w:rsidR="00B8109A" w:rsidRPr="007D5BD1" w:rsidRDefault="008629A3" w:rsidP="00853BD4">
      <w:pPr>
        <w:pBdr>
          <w:top w:val="nil"/>
          <w:left w:val="nil"/>
          <w:bottom w:val="nil"/>
          <w:right w:val="nil"/>
          <w:between w:val="nil"/>
        </w:pBdr>
        <w:spacing w:line="240" w:lineRule="auto"/>
        <w:jc w:val="both"/>
        <w:rPr>
          <w:rFonts w:ascii="Calibri" w:hAnsi="Calibri" w:cs="Calibri"/>
          <w:sz w:val="24"/>
          <w:szCs w:val="24"/>
          <w:highlight w:val="white"/>
        </w:rPr>
      </w:pPr>
      <w:r w:rsidRPr="00ED5B1F">
        <w:rPr>
          <w:rFonts w:ascii="Calibri" w:hAnsi="Calibri" w:cs="Calibri"/>
          <w:sz w:val="24"/>
          <w:szCs w:val="24"/>
          <w:highlight w:val="white"/>
        </w:rPr>
        <w:t xml:space="preserve">These results represent the target year emissions intensities needed to set a FLAG target.  </w:t>
      </w:r>
    </w:p>
    <w:sectPr w:rsidR="00B8109A" w:rsidRPr="007D5BD1" w:rsidSect="00720D1B">
      <w:headerReference w:type="default" r:id="rId25"/>
      <w:footerReference w:type="default" r:id="rId26"/>
      <w:pgSz w:w="11906" w:h="16838"/>
      <w:pgMar w:top="2552"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5A534A" w14:textId="77777777" w:rsidR="00EB66AC" w:rsidRDefault="00EB66AC" w:rsidP="001B7872">
      <w:pPr>
        <w:spacing w:line="240" w:lineRule="auto"/>
      </w:pPr>
      <w:r>
        <w:separator/>
      </w:r>
    </w:p>
  </w:endnote>
  <w:endnote w:type="continuationSeparator" w:id="0">
    <w:p w14:paraId="47301AF2" w14:textId="77777777" w:rsidR="00EB66AC" w:rsidRDefault="00EB66AC" w:rsidP="001B7872">
      <w:pPr>
        <w:spacing w:line="240" w:lineRule="auto"/>
      </w:pPr>
      <w:r>
        <w:continuationSeparator/>
      </w:r>
    </w:p>
  </w:endnote>
  <w:endnote w:type="continuationNotice" w:id="1">
    <w:p w14:paraId="137F59B6" w14:textId="77777777" w:rsidR="00EB66AC" w:rsidRDefault="00EB66A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
    <w:panose1 w:val="020B0604020202020204"/>
    <w:charset w:val="00"/>
    <w:family w:val="auto"/>
    <w:pitch w:val="variable"/>
    <w:sig w:usb0="E00002FF" w:usb1="5000205A" w:usb2="00000000" w:usb3="00000000" w:csb0="0000019F" w:csb1="00000000"/>
  </w:font>
  <w:font w:name="SofiaProBold">
    <w:panose1 w:val="020B0604020202020204"/>
    <w:charset w:val="4D"/>
    <w:family w:val="auto"/>
    <w:notTrueType/>
    <w:pitch w:val="default"/>
    <w:sig w:usb0="00000003" w:usb1="00000000" w:usb2="00000000" w:usb3="00000000" w:csb0="00000001" w:csb1="00000000"/>
  </w:font>
  <w:font w:name="SofiaProRegular">
    <w:panose1 w:val="020B0604020202020204"/>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B218FB" w14:textId="77777777" w:rsidR="00D509A4" w:rsidRPr="007B4FAF" w:rsidRDefault="001B7872" w:rsidP="00D509A4">
    <w:pPr>
      <w:suppressAutoHyphens w:val="0"/>
      <w:spacing w:line="288" w:lineRule="auto"/>
      <w:rPr>
        <w:rFonts w:eastAsia="Times" w:cs="SofiaProBold"/>
        <w:b/>
        <w:bCs/>
        <w:color w:val="003B5C"/>
        <w:spacing w:val="-1"/>
        <w:position w:val="1"/>
        <w:sz w:val="15"/>
        <w:szCs w:val="15"/>
        <w:lang w:eastAsia="en-US"/>
      </w:rPr>
    </w:pPr>
    <w:proofErr w:type="spellStart"/>
    <w:r w:rsidRPr="00A55C19">
      <w:rPr>
        <w:rFonts w:eastAsia="Times" w:cs="SofiaProBold"/>
        <w:b/>
        <w:bCs/>
        <w:color w:val="003B5C"/>
        <w:spacing w:val="-1"/>
        <w:position w:val="1"/>
        <w:sz w:val="15"/>
        <w:szCs w:val="15"/>
        <w:lang w:eastAsia="en-US"/>
      </w:rPr>
      <w:t>Bonsucro</w:t>
    </w:r>
    <w:proofErr w:type="spellEnd"/>
    <w:r w:rsidRPr="00A55C19">
      <w:rPr>
        <w:rFonts w:eastAsia="Times" w:cs="SofiaProBold"/>
        <w:b/>
        <w:bCs/>
        <w:color w:val="003B5C"/>
        <w:spacing w:val="-1"/>
        <w:position w:val="1"/>
        <w:sz w:val="15"/>
        <w:szCs w:val="15"/>
        <w:lang w:eastAsia="en-US"/>
      </w:rPr>
      <w:t xml:space="preserve"> Ltd. </w:t>
    </w:r>
    <w:r w:rsidR="00D509A4" w:rsidRPr="007B4FAF">
      <w:rPr>
        <w:rFonts w:ascii="Times New Roman" w:eastAsia="Times" w:hAnsi="Times New Roman" w:cs="SofiaProRegular"/>
        <w:color w:val="003B5C"/>
        <w:spacing w:val="-1"/>
        <w:position w:val="1"/>
        <w:sz w:val="15"/>
        <w:szCs w:val="15"/>
      </w:rPr>
      <w:t>Unit KP.CC3.01 Canterbury Court, Kennington Park, 1 – 3 Brixton Road, London, SW9 6DE</w:t>
    </w:r>
    <w:r w:rsidR="00D509A4" w:rsidRPr="007B4FAF">
      <w:rPr>
        <w:rFonts w:eastAsia="Times" w:cs="SofiaProBold"/>
        <w:b/>
        <w:bCs/>
        <w:color w:val="003B5C"/>
        <w:spacing w:val="-1"/>
        <w:position w:val="1"/>
        <w:sz w:val="15"/>
        <w:szCs w:val="15"/>
        <w:lang w:eastAsia="en-US"/>
      </w:rPr>
      <w:t xml:space="preserve"> </w:t>
    </w:r>
  </w:p>
  <w:p w14:paraId="4B11180C" w14:textId="71350A07" w:rsidR="001B7872" w:rsidRPr="00D509A4" w:rsidRDefault="001B7872" w:rsidP="00D509A4">
    <w:pPr>
      <w:suppressAutoHyphens w:val="0"/>
      <w:spacing w:line="288" w:lineRule="auto"/>
      <w:rPr>
        <w:rFonts w:eastAsia="Times" w:cs="SofiaProRegular"/>
        <w:color w:val="003B5C"/>
        <w:spacing w:val="-1"/>
        <w:position w:val="1"/>
        <w:sz w:val="15"/>
        <w:szCs w:val="15"/>
        <w:lang w:val="es-ES" w:eastAsia="en-US"/>
      </w:rPr>
    </w:pPr>
    <w:r w:rsidRPr="007A2267">
      <w:rPr>
        <w:rFonts w:eastAsia="Times" w:cs="SofiaProBold"/>
        <w:b/>
        <w:bCs/>
        <w:color w:val="003B5C"/>
        <w:spacing w:val="-1"/>
        <w:position w:val="1"/>
        <w:sz w:val="15"/>
        <w:szCs w:val="15"/>
        <w:lang w:val="es-ES" w:eastAsia="en-US"/>
      </w:rPr>
      <w:t>t</w:t>
    </w:r>
    <w:r w:rsidRPr="007A2267">
      <w:rPr>
        <w:rFonts w:eastAsia="Times" w:cs="SofiaProRegular"/>
        <w:color w:val="003B5C"/>
        <w:spacing w:val="-1"/>
        <w:sz w:val="15"/>
        <w:szCs w:val="15"/>
        <w:lang w:val="es-ES" w:eastAsia="en-US"/>
      </w:rPr>
      <w:t xml:space="preserve"> </w:t>
    </w:r>
    <w:r w:rsidRPr="007A2267">
      <w:rPr>
        <w:rFonts w:eastAsia="Times" w:cs="SofiaProRegular"/>
        <w:color w:val="003B5C"/>
        <w:spacing w:val="-1"/>
        <w:position w:val="1"/>
        <w:sz w:val="15"/>
        <w:szCs w:val="15"/>
        <w:lang w:val="es-ES" w:eastAsia="en-US"/>
      </w:rPr>
      <w:t xml:space="preserve">+44 </w:t>
    </w:r>
    <w:r w:rsidRPr="007A2267">
      <w:rPr>
        <w:rFonts w:eastAsia="Times" w:cs="SofiaProRegular"/>
        <w:color w:val="003B5C"/>
        <w:spacing w:val="-1"/>
        <w:position w:val="2"/>
        <w:sz w:val="15"/>
        <w:szCs w:val="15"/>
        <w:lang w:val="es-ES" w:eastAsia="en-US"/>
      </w:rPr>
      <w:t>(</w:t>
    </w:r>
    <w:r w:rsidRPr="007A2267">
      <w:rPr>
        <w:rFonts w:eastAsia="Times" w:cs="SofiaProRegular"/>
        <w:color w:val="003B5C"/>
        <w:spacing w:val="-1"/>
        <w:position w:val="1"/>
        <w:sz w:val="15"/>
        <w:szCs w:val="15"/>
        <w:lang w:val="es-ES" w:eastAsia="en-US"/>
      </w:rPr>
      <w:t>0</w:t>
    </w:r>
    <w:r w:rsidRPr="007A2267">
      <w:rPr>
        <w:rFonts w:eastAsia="Times" w:cs="SofiaProRegular"/>
        <w:color w:val="003B5C"/>
        <w:spacing w:val="-1"/>
        <w:position w:val="2"/>
        <w:sz w:val="15"/>
        <w:szCs w:val="15"/>
        <w:lang w:val="es-ES" w:eastAsia="en-US"/>
      </w:rPr>
      <w:t>)</w:t>
    </w:r>
    <w:r w:rsidRPr="007A2267">
      <w:rPr>
        <w:rFonts w:eastAsia="Times" w:cs="SofiaProRegular"/>
        <w:color w:val="003B5C"/>
        <w:spacing w:val="-1"/>
        <w:position w:val="1"/>
        <w:sz w:val="15"/>
        <w:szCs w:val="15"/>
        <w:lang w:val="es-ES" w:eastAsia="en-US"/>
      </w:rPr>
      <w:t xml:space="preserve">20 3735 8515   </w:t>
    </w:r>
    <w:r w:rsidRPr="007A2267">
      <w:rPr>
        <w:rFonts w:eastAsia="Times" w:cs="SofiaProBold"/>
        <w:b/>
        <w:bCs/>
        <w:color w:val="003B5C"/>
        <w:spacing w:val="-1"/>
        <w:position w:val="1"/>
        <w:sz w:val="15"/>
        <w:szCs w:val="15"/>
        <w:lang w:val="es-ES" w:eastAsia="en-US"/>
      </w:rPr>
      <w:t xml:space="preserve">e </w:t>
    </w:r>
    <w:r w:rsidRPr="007A2267">
      <w:rPr>
        <w:rFonts w:eastAsia="Times" w:cs="SofiaProRegular"/>
        <w:color w:val="003B5C"/>
        <w:spacing w:val="-1"/>
        <w:position w:val="1"/>
        <w:sz w:val="15"/>
        <w:szCs w:val="15"/>
        <w:lang w:val="es-ES" w:eastAsia="en-US"/>
      </w:rPr>
      <w:t xml:space="preserve">info@bonsucro.com   </w:t>
    </w:r>
    <w:r w:rsidRPr="007A2267">
      <w:rPr>
        <w:rFonts w:eastAsia="Times" w:cs="SofiaProBold"/>
        <w:b/>
        <w:bCs/>
        <w:color w:val="003B5C"/>
        <w:spacing w:val="-1"/>
        <w:position w:val="1"/>
        <w:sz w:val="15"/>
        <w:szCs w:val="15"/>
        <w:lang w:val="es-ES" w:eastAsia="en-US"/>
      </w:rPr>
      <w:t>w</w:t>
    </w:r>
    <w:r w:rsidRPr="007A2267">
      <w:rPr>
        <w:rFonts w:eastAsia="Times" w:cs="SofiaProBold"/>
        <w:b/>
        <w:bCs/>
        <w:color w:val="003B5C"/>
        <w:spacing w:val="-1"/>
        <w:sz w:val="15"/>
        <w:szCs w:val="15"/>
        <w:lang w:val="es-ES" w:eastAsia="en-US"/>
      </w:rPr>
      <w:t xml:space="preserve"> </w:t>
    </w:r>
    <w:r w:rsidRPr="007A2267">
      <w:rPr>
        <w:rFonts w:eastAsia="Times" w:cs="SofiaProRegular"/>
        <w:color w:val="003B5C"/>
        <w:spacing w:val="-1"/>
        <w:position w:val="1"/>
        <w:sz w:val="15"/>
        <w:szCs w:val="15"/>
        <w:lang w:val="es-ES" w:eastAsia="en-US"/>
      </w:rPr>
      <w:t xml:space="preserve">bonsucro.com </w:t>
    </w:r>
    <w:r w:rsidR="00D509A4">
      <w:rPr>
        <w:rFonts w:eastAsia="Times" w:cs="SofiaProRegular"/>
        <w:color w:val="003B5C"/>
        <w:spacing w:val="-1"/>
        <w:position w:val="1"/>
        <w:sz w:val="15"/>
        <w:szCs w:val="15"/>
        <w:lang w:val="es-ES" w:eastAsia="en-US"/>
      </w:rPr>
      <w:t xml:space="preserve">- </w:t>
    </w:r>
    <w:r w:rsidRPr="00D509A4">
      <w:rPr>
        <w:rFonts w:eastAsia="Times" w:cs="SofiaProRegular"/>
        <w:color w:val="003B5C"/>
        <w:spacing w:val="-1"/>
        <w:position w:val="1"/>
        <w:sz w:val="15"/>
        <w:szCs w:val="15"/>
        <w:lang w:eastAsia="en-US"/>
      </w:rPr>
      <w:t>Company Number: 06798568</w:t>
    </w:r>
  </w:p>
  <w:p w14:paraId="043996C5" w14:textId="6F586F9E" w:rsidR="001B7872" w:rsidRDefault="001B7872">
    <w:pPr>
      <w:pStyle w:val="Footer"/>
    </w:pPr>
  </w:p>
  <w:p w14:paraId="72294C73" w14:textId="77777777" w:rsidR="001B7872" w:rsidRDefault="001B7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7D383" w14:textId="77777777" w:rsidR="00EB66AC" w:rsidRDefault="00EB66AC" w:rsidP="001B7872">
      <w:pPr>
        <w:spacing w:line="240" w:lineRule="auto"/>
      </w:pPr>
      <w:r>
        <w:separator/>
      </w:r>
    </w:p>
  </w:footnote>
  <w:footnote w:type="continuationSeparator" w:id="0">
    <w:p w14:paraId="0E631CB7" w14:textId="77777777" w:rsidR="00EB66AC" w:rsidRDefault="00EB66AC" w:rsidP="001B7872">
      <w:pPr>
        <w:spacing w:line="240" w:lineRule="auto"/>
      </w:pPr>
      <w:r>
        <w:continuationSeparator/>
      </w:r>
    </w:p>
  </w:footnote>
  <w:footnote w:type="continuationNotice" w:id="1">
    <w:p w14:paraId="4BBBA691" w14:textId="77777777" w:rsidR="00EB66AC" w:rsidRDefault="00EB66A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97D6C" w14:textId="2E250F14" w:rsidR="001B7872" w:rsidRDefault="001B7872">
    <w:pPr>
      <w:pStyle w:val="Header"/>
    </w:pPr>
  </w:p>
  <w:p w14:paraId="2475F394" w14:textId="16426254" w:rsidR="001B7872" w:rsidRDefault="001B7872">
    <w:pPr>
      <w:pStyle w:val="Header"/>
    </w:pPr>
    <w:r w:rsidRPr="00A55C19">
      <w:rPr>
        <w:noProof/>
      </w:rPr>
      <w:drawing>
        <wp:anchor distT="0" distB="0" distL="114300" distR="114300" simplePos="0" relativeHeight="251661312" behindDoc="0" locked="0" layoutInCell="1" allowOverlap="1" wp14:anchorId="0BC2DB3A" wp14:editId="49DF3536">
          <wp:simplePos x="0" y="0"/>
          <wp:positionH relativeFrom="page">
            <wp:posOffset>5372100</wp:posOffset>
          </wp:positionH>
          <wp:positionV relativeFrom="page">
            <wp:posOffset>437515</wp:posOffset>
          </wp:positionV>
          <wp:extent cx="1439545" cy="1009015"/>
          <wp:effectExtent l="0" t="0" r="8255" b="698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L_PRI_GREY_M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439545" cy="1009015"/>
                  </a:xfrm>
                  <a:prstGeom prst="rect">
                    <a:avLst/>
                  </a:prstGeom>
                  <a:noFill/>
                  <a:ln>
                    <a:noFill/>
                  </a:ln>
                  <a:extLs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C757B"/>
    <w:multiLevelType w:val="multilevel"/>
    <w:tmpl w:val="87204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 w15:restartNumberingAfterBreak="0">
    <w:nsid w:val="1BEB2AB0"/>
    <w:multiLevelType w:val="multilevel"/>
    <w:tmpl w:val="AA10B1E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22BE1DCC"/>
    <w:multiLevelType w:val="multilevel"/>
    <w:tmpl w:val="B10452D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 w15:restartNumberingAfterBreak="0">
    <w:nsid w:val="22E0327B"/>
    <w:multiLevelType w:val="multilevel"/>
    <w:tmpl w:val="0D862076"/>
    <w:lvl w:ilvl="0">
      <w:start w:val="1"/>
      <w:numFmt w:val="bullet"/>
      <w:lvlText w:val=""/>
      <w:lvlJc w:val="left"/>
      <w:pPr>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586476A"/>
    <w:multiLevelType w:val="hybridMultilevel"/>
    <w:tmpl w:val="C966EC28"/>
    <w:lvl w:ilvl="0" w:tplc="0416000F">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5" w15:restartNumberingAfterBreak="0">
    <w:nsid w:val="2755133D"/>
    <w:multiLevelType w:val="hybridMultilevel"/>
    <w:tmpl w:val="96DC21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283B2268"/>
    <w:multiLevelType w:val="multilevel"/>
    <w:tmpl w:val="755480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DFA7A23"/>
    <w:multiLevelType w:val="multilevel"/>
    <w:tmpl w:val="D52ED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202974"/>
    <w:multiLevelType w:val="multilevel"/>
    <w:tmpl w:val="80C8E358"/>
    <w:lvl w:ilvl="0">
      <w:start w:val="1"/>
      <w:numFmt w:val="decimal"/>
      <w:lvlText w:val="%1."/>
      <w:lvlJc w:val="left"/>
      <w:pPr>
        <w:tabs>
          <w:tab w:val="num" w:pos="720"/>
        </w:tabs>
        <w:ind w:left="720" w:hanging="360"/>
      </w:pPr>
    </w:lvl>
    <w:lvl w:ilvl="1">
      <w:numFmt w:val="bullet"/>
      <w:lvlText w:val="-"/>
      <w:lvlJc w:val="left"/>
      <w:pPr>
        <w:ind w:left="1440" w:hanging="360"/>
      </w:pPr>
      <w:rPr>
        <w:rFonts w:ascii="Calibri Light" w:eastAsiaTheme="minorHAnsi" w:hAnsi="Calibri Light" w:cs="Calibri Light"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4F70D70"/>
    <w:multiLevelType w:val="hybridMultilevel"/>
    <w:tmpl w:val="660655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60A14C1B"/>
    <w:multiLevelType w:val="hybridMultilevel"/>
    <w:tmpl w:val="E31C3734"/>
    <w:lvl w:ilvl="0" w:tplc="ED0202EE">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6395ADC"/>
    <w:multiLevelType w:val="multilevel"/>
    <w:tmpl w:val="80C8E358"/>
    <w:lvl w:ilvl="0">
      <w:start w:val="1"/>
      <w:numFmt w:val="decimal"/>
      <w:lvlText w:val="%1."/>
      <w:lvlJc w:val="left"/>
      <w:pPr>
        <w:tabs>
          <w:tab w:val="num" w:pos="720"/>
        </w:tabs>
        <w:ind w:left="720" w:hanging="360"/>
      </w:pPr>
    </w:lvl>
    <w:lvl w:ilvl="1">
      <w:numFmt w:val="bullet"/>
      <w:lvlText w:val="-"/>
      <w:lvlJc w:val="left"/>
      <w:pPr>
        <w:ind w:left="1440" w:hanging="360"/>
      </w:pPr>
      <w:rPr>
        <w:rFonts w:ascii="Calibri Light" w:eastAsiaTheme="minorHAnsi" w:hAnsi="Calibri Light" w:cs="Calibri Light"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A200E9A"/>
    <w:multiLevelType w:val="hybridMultilevel"/>
    <w:tmpl w:val="96EA2F40"/>
    <w:lvl w:ilvl="0" w:tplc="04160001">
      <w:start w:val="1"/>
      <w:numFmt w:val="bullet"/>
      <w:lvlText w:val=""/>
      <w:lvlJc w:val="left"/>
      <w:pPr>
        <w:ind w:left="768" w:hanging="360"/>
      </w:pPr>
      <w:rPr>
        <w:rFonts w:ascii="Symbol" w:hAnsi="Symbol" w:hint="default"/>
      </w:rPr>
    </w:lvl>
    <w:lvl w:ilvl="1" w:tplc="04160003" w:tentative="1">
      <w:start w:val="1"/>
      <w:numFmt w:val="bullet"/>
      <w:lvlText w:val="o"/>
      <w:lvlJc w:val="left"/>
      <w:pPr>
        <w:ind w:left="1488" w:hanging="360"/>
      </w:pPr>
      <w:rPr>
        <w:rFonts w:ascii="Courier New" w:hAnsi="Courier New" w:cs="Courier New" w:hint="default"/>
      </w:rPr>
    </w:lvl>
    <w:lvl w:ilvl="2" w:tplc="04160005" w:tentative="1">
      <w:start w:val="1"/>
      <w:numFmt w:val="bullet"/>
      <w:lvlText w:val=""/>
      <w:lvlJc w:val="left"/>
      <w:pPr>
        <w:ind w:left="2208" w:hanging="360"/>
      </w:pPr>
      <w:rPr>
        <w:rFonts w:ascii="Wingdings" w:hAnsi="Wingdings" w:hint="default"/>
      </w:rPr>
    </w:lvl>
    <w:lvl w:ilvl="3" w:tplc="04160001" w:tentative="1">
      <w:start w:val="1"/>
      <w:numFmt w:val="bullet"/>
      <w:lvlText w:val=""/>
      <w:lvlJc w:val="left"/>
      <w:pPr>
        <w:ind w:left="2928" w:hanging="360"/>
      </w:pPr>
      <w:rPr>
        <w:rFonts w:ascii="Symbol" w:hAnsi="Symbol" w:hint="default"/>
      </w:rPr>
    </w:lvl>
    <w:lvl w:ilvl="4" w:tplc="04160003" w:tentative="1">
      <w:start w:val="1"/>
      <w:numFmt w:val="bullet"/>
      <w:lvlText w:val="o"/>
      <w:lvlJc w:val="left"/>
      <w:pPr>
        <w:ind w:left="3648" w:hanging="360"/>
      </w:pPr>
      <w:rPr>
        <w:rFonts w:ascii="Courier New" w:hAnsi="Courier New" w:cs="Courier New" w:hint="default"/>
      </w:rPr>
    </w:lvl>
    <w:lvl w:ilvl="5" w:tplc="04160005" w:tentative="1">
      <w:start w:val="1"/>
      <w:numFmt w:val="bullet"/>
      <w:lvlText w:val=""/>
      <w:lvlJc w:val="left"/>
      <w:pPr>
        <w:ind w:left="4368" w:hanging="360"/>
      </w:pPr>
      <w:rPr>
        <w:rFonts w:ascii="Wingdings" w:hAnsi="Wingdings" w:hint="default"/>
      </w:rPr>
    </w:lvl>
    <w:lvl w:ilvl="6" w:tplc="04160001" w:tentative="1">
      <w:start w:val="1"/>
      <w:numFmt w:val="bullet"/>
      <w:lvlText w:val=""/>
      <w:lvlJc w:val="left"/>
      <w:pPr>
        <w:ind w:left="5088" w:hanging="360"/>
      </w:pPr>
      <w:rPr>
        <w:rFonts w:ascii="Symbol" w:hAnsi="Symbol" w:hint="default"/>
      </w:rPr>
    </w:lvl>
    <w:lvl w:ilvl="7" w:tplc="04160003" w:tentative="1">
      <w:start w:val="1"/>
      <w:numFmt w:val="bullet"/>
      <w:lvlText w:val="o"/>
      <w:lvlJc w:val="left"/>
      <w:pPr>
        <w:ind w:left="5808" w:hanging="360"/>
      </w:pPr>
      <w:rPr>
        <w:rFonts w:ascii="Courier New" w:hAnsi="Courier New" w:cs="Courier New" w:hint="default"/>
      </w:rPr>
    </w:lvl>
    <w:lvl w:ilvl="8" w:tplc="04160005" w:tentative="1">
      <w:start w:val="1"/>
      <w:numFmt w:val="bullet"/>
      <w:lvlText w:val=""/>
      <w:lvlJc w:val="left"/>
      <w:pPr>
        <w:ind w:left="6528" w:hanging="360"/>
      </w:pPr>
      <w:rPr>
        <w:rFonts w:ascii="Wingdings" w:hAnsi="Wingdings" w:hint="default"/>
      </w:rPr>
    </w:lvl>
  </w:abstractNum>
  <w:abstractNum w:abstractNumId="13" w15:restartNumberingAfterBreak="0">
    <w:nsid w:val="71BD3DCD"/>
    <w:multiLevelType w:val="multilevel"/>
    <w:tmpl w:val="200CAD4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259371380">
    <w:abstractNumId w:val="10"/>
  </w:num>
  <w:num w:numId="2" w16cid:durableId="236912788">
    <w:abstractNumId w:val="11"/>
  </w:num>
  <w:num w:numId="3" w16cid:durableId="1405032981">
    <w:abstractNumId w:val="6"/>
  </w:num>
  <w:num w:numId="4" w16cid:durableId="1030179204">
    <w:abstractNumId w:val="3"/>
  </w:num>
  <w:num w:numId="5" w16cid:durableId="102116532">
    <w:abstractNumId w:val="8"/>
  </w:num>
  <w:num w:numId="6" w16cid:durableId="699550055">
    <w:abstractNumId w:val="7"/>
  </w:num>
  <w:num w:numId="7" w16cid:durableId="1917129199">
    <w:abstractNumId w:val="5"/>
  </w:num>
  <w:num w:numId="8" w16cid:durableId="2100985135">
    <w:abstractNumId w:val="9"/>
  </w:num>
  <w:num w:numId="9" w16cid:durableId="1413311891">
    <w:abstractNumId w:val="2"/>
  </w:num>
  <w:num w:numId="10" w16cid:durableId="1846750887">
    <w:abstractNumId w:val="13"/>
  </w:num>
  <w:num w:numId="11" w16cid:durableId="192308219">
    <w:abstractNumId w:val="1"/>
  </w:num>
  <w:num w:numId="12" w16cid:durableId="1346710175">
    <w:abstractNumId w:val="0"/>
  </w:num>
  <w:num w:numId="13" w16cid:durableId="1332560126">
    <w:abstractNumId w:val="4"/>
  </w:num>
  <w:num w:numId="14" w16cid:durableId="9114329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872"/>
    <w:rsid w:val="00010BB2"/>
    <w:rsid w:val="0002641D"/>
    <w:rsid w:val="000328D5"/>
    <w:rsid w:val="000516AA"/>
    <w:rsid w:val="00061469"/>
    <w:rsid w:val="00061953"/>
    <w:rsid w:val="00075B97"/>
    <w:rsid w:val="000775DD"/>
    <w:rsid w:val="00097235"/>
    <w:rsid w:val="000A3DD2"/>
    <w:rsid w:val="000A758B"/>
    <w:rsid w:val="000B03CE"/>
    <w:rsid w:val="000C2AA5"/>
    <w:rsid w:val="000C7F14"/>
    <w:rsid w:val="000D090E"/>
    <w:rsid w:val="000D74C9"/>
    <w:rsid w:val="00101132"/>
    <w:rsid w:val="00115073"/>
    <w:rsid w:val="001176B8"/>
    <w:rsid w:val="00145439"/>
    <w:rsid w:val="001554DE"/>
    <w:rsid w:val="00156093"/>
    <w:rsid w:val="00161CBF"/>
    <w:rsid w:val="0016275E"/>
    <w:rsid w:val="001755B3"/>
    <w:rsid w:val="001765DD"/>
    <w:rsid w:val="001A17A7"/>
    <w:rsid w:val="001B63D3"/>
    <w:rsid w:val="001B7872"/>
    <w:rsid w:val="001F5BAE"/>
    <w:rsid w:val="001F6E9C"/>
    <w:rsid w:val="00201B37"/>
    <w:rsid w:val="00202204"/>
    <w:rsid w:val="0022573E"/>
    <w:rsid w:val="002329AF"/>
    <w:rsid w:val="002331A4"/>
    <w:rsid w:val="00234F5D"/>
    <w:rsid w:val="00244276"/>
    <w:rsid w:val="002542E6"/>
    <w:rsid w:val="00255651"/>
    <w:rsid w:val="00255877"/>
    <w:rsid w:val="002564A2"/>
    <w:rsid w:val="00263246"/>
    <w:rsid w:val="0026633A"/>
    <w:rsid w:val="002A0E27"/>
    <w:rsid w:val="002B0D58"/>
    <w:rsid w:val="002D16DB"/>
    <w:rsid w:val="002F17F3"/>
    <w:rsid w:val="0032472A"/>
    <w:rsid w:val="00337BE9"/>
    <w:rsid w:val="003616E4"/>
    <w:rsid w:val="00371290"/>
    <w:rsid w:val="003745FB"/>
    <w:rsid w:val="0038793C"/>
    <w:rsid w:val="003B4A20"/>
    <w:rsid w:val="003C2286"/>
    <w:rsid w:val="003C443F"/>
    <w:rsid w:val="003D2056"/>
    <w:rsid w:val="003D35ED"/>
    <w:rsid w:val="003E6A14"/>
    <w:rsid w:val="003F0688"/>
    <w:rsid w:val="003F3D25"/>
    <w:rsid w:val="003F6749"/>
    <w:rsid w:val="00406FD1"/>
    <w:rsid w:val="004112CE"/>
    <w:rsid w:val="00420AC3"/>
    <w:rsid w:val="00424E5F"/>
    <w:rsid w:val="0043249F"/>
    <w:rsid w:val="00435AFE"/>
    <w:rsid w:val="00444994"/>
    <w:rsid w:val="00454179"/>
    <w:rsid w:val="00454EE7"/>
    <w:rsid w:val="00455A22"/>
    <w:rsid w:val="00472DB6"/>
    <w:rsid w:val="00484BDD"/>
    <w:rsid w:val="00496645"/>
    <w:rsid w:val="004A5E16"/>
    <w:rsid w:val="004C11CD"/>
    <w:rsid w:val="004C4BCD"/>
    <w:rsid w:val="004C6556"/>
    <w:rsid w:val="004E53C8"/>
    <w:rsid w:val="004F0081"/>
    <w:rsid w:val="004F2409"/>
    <w:rsid w:val="00500F63"/>
    <w:rsid w:val="00543089"/>
    <w:rsid w:val="00561EF0"/>
    <w:rsid w:val="00574EC6"/>
    <w:rsid w:val="00576DEE"/>
    <w:rsid w:val="00576F29"/>
    <w:rsid w:val="005877F4"/>
    <w:rsid w:val="005A3D00"/>
    <w:rsid w:val="005A6D6C"/>
    <w:rsid w:val="005B6DB4"/>
    <w:rsid w:val="005C5D4D"/>
    <w:rsid w:val="005D5F91"/>
    <w:rsid w:val="005F6267"/>
    <w:rsid w:val="006119E0"/>
    <w:rsid w:val="00615933"/>
    <w:rsid w:val="00616687"/>
    <w:rsid w:val="006202A5"/>
    <w:rsid w:val="00662448"/>
    <w:rsid w:val="00674545"/>
    <w:rsid w:val="00682DDC"/>
    <w:rsid w:val="0068425C"/>
    <w:rsid w:val="00697322"/>
    <w:rsid w:val="006A5B29"/>
    <w:rsid w:val="006B11A0"/>
    <w:rsid w:val="006B3CD6"/>
    <w:rsid w:val="006C0A82"/>
    <w:rsid w:val="006C101F"/>
    <w:rsid w:val="006C5376"/>
    <w:rsid w:val="006E108D"/>
    <w:rsid w:val="006E7320"/>
    <w:rsid w:val="006E77A6"/>
    <w:rsid w:val="006F38A2"/>
    <w:rsid w:val="006F4D30"/>
    <w:rsid w:val="00720D1B"/>
    <w:rsid w:val="007253C1"/>
    <w:rsid w:val="00732F3D"/>
    <w:rsid w:val="00743EF1"/>
    <w:rsid w:val="00746827"/>
    <w:rsid w:val="00750851"/>
    <w:rsid w:val="00771379"/>
    <w:rsid w:val="00780ED2"/>
    <w:rsid w:val="0078790A"/>
    <w:rsid w:val="0079038F"/>
    <w:rsid w:val="00793F0A"/>
    <w:rsid w:val="007A2267"/>
    <w:rsid w:val="007A2A18"/>
    <w:rsid w:val="007B4FAF"/>
    <w:rsid w:val="007C1B05"/>
    <w:rsid w:val="007C23A1"/>
    <w:rsid w:val="007C6BDF"/>
    <w:rsid w:val="007D5915"/>
    <w:rsid w:val="007D5BD1"/>
    <w:rsid w:val="007F3E42"/>
    <w:rsid w:val="008322CF"/>
    <w:rsid w:val="0085109B"/>
    <w:rsid w:val="00853BD4"/>
    <w:rsid w:val="008629A3"/>
    <w:rsid w:val="008646FF"/>
    <w:rsid w:val="0089469E"/>
    <w:rsid w:val="008A3EFC"/>
    <w:rsid w:val="008A4558"/>
    <w:rsid w:val="008B2615"/>
    <w:rsid w:val="008B6701"/>
    <w:rsid w:val="008F47F2"/>
    <w:rsid w:val="00901AF2"/>
    <w:rsid w:val="0091177F"/>
    <w:rsid w:val="00920B18"/>
    <w:rsid w:val="009462DA"/>
    <w:rsid w:val="009616D8"/>
    <w:rsid w:val="00972534"/>
    <w:rsid w:val="009813EB"/>
    <w:rsid w:val="0098639F"/>
    <w:rsid w:val="009A3B29"/>
    <w:rsid w:val="009A4689"/>
    <w:rsid w:val="009D03CE"/>
    <w:rsid w:val="009D3429"/>
    <w:rsid w:val="009E0347"/>
    <w:rsid w:val="009F4A48"/>
    <w:rsid w:val="009F4A69"/>
    <w:rsid w:val="00A05B96"/>
    <w:rsid w:val="00A06931"/>
    <w:rsid w:val="00A10969"/>
    <w:rsid w:val="00A23268"/>
    <w:rsid w:val="00A2498A"/>
    <w:rsid w:val="00A31158"/>
    <w:rsid w:val="00A379C4"/>
    <w:rsid w:val="00A4175C"/>
    <w:rsid w:val="00A53046"/>
    <w:rsid w:val="00A77F52"/>
    <w:rsid w:val="00A85984"/>
    <w:rsid w:val="00AC22DF"/>
    <w:rsid w:val="00AC2375"/>
    <w:rsid w:val="00AD266A"/>
    <w:rsid w:val="00AD4BF1"/>
    <w:rsid w:val="00AE7163"/>
    <w:rsid w:val="00AE7649"/>
    <w:rsid w:val="00B14A99"/>
    <w:rsid w:val="00B1521A"/>
    <w:rsid w:val="00B26783"/>
    <w:rsid w:val="00B33EB3"/>
    <w:rsid w:val="00B373B4"/>
    <w:rsid w:val="00B448DD"/>
    <w:rsid w:val="00B63F9F"/>
    <w:rsid w:val="00B70765"/>
    <w:rsid w:val="00B7397F"/>
    <w:rsid w:val="00B8109A"/>
    <w:rsid w:val="00B91494"/>
    <w:rsid w:val="00B961B7"/>
    <w:rsid w:val="00BB3BF0"/>
    <w:rsid w:val="00BC1989"/>
    <w:rsid w:val="00BD4417"/>
    <w:rsid w:val="00C1131F"/>
    <w:rsid w:val="00C16482"/>
    <w:rsid w:val="00C224AC"/>
    <w:rsid w:val="00C23236"/>
    <w:rsid w:val="00C33254"/>
    <w:rsid w:val="00C47E6F"/>
    <w:rsid w:val="00C622E5"/>
    <w:rsid w:val="00C652EB"/>
    <w:rsid w:val="00C7085E"/>
    <w:rsid w:val="00C7176E"/>
    <w:rsid w:val="00C71B61"/>
    <w:rsid w:val="00C72E20"/>
    <w:rsid w:val="00C92A1B"/>
    <w:rsid w:val="00CA2B1B"/>
    <w:rsid w:val="00CF67CE"/>
    <w:rsid w:val="00D03E13"/>
    <w:rsid w:val="00D06D07"/>
    <w:rsid w:val="00D36E3E"/>
    <w:rsid w:val="00D509A4"/>
    <w:rsid w:val="00D653D0"/>
    <w:rsid w:val="00D72204"/>
    <w:rsid w:val="00D75D35"/>
    <w:rsid w:val="00D90F9C"/>
    <w:rsid w:val="00DB5A5B"/>
    <w:rsid w:val="00DD272C"/>
    <w:rsid w:val="00DF4672"/>
    <w:rsid w:val="00DF5F10"/>
    <w:rsid w:val="00E04545"/>
    <w:rsid w:val="00E129A1"/>
    <w:rsid w:val="00E20E28"/>
    <w:rsid w:val="00E2216E"/>
    <w:rsid w:val="00E247F7"/>
    <w:rsid w:val="00E341D1"/>
    <w:rsid w:val="00E47F8A"/>
    <w:rsid w:val="00E50AAF"/>
    <w:rsid w:val="00E70B75"/>
    <w:rsid w:val="00E84FBB"/>
    <w:rsid w:val="00E87655"/>
    <w:rsid w:val="00E87B91"/>
    <w:rsid w:val="00E90864"/>
    <w:rsid w:val="00E931F7"/>
    <w:rsid w:val="00EA4B80"/>
    <w:rsid w:val="00EA5478"/>
    <w:rsid w:val="00EA5A1E"/>
    <w:rsid w:val="00EB3D9E"/>
    <w:rsid w:val="00EB66AC"/>
    <w:rsid w:val="00EB69C1"/>
    <w:rsid w:val="00ED5B1F"/>
    <w:rsid w:val="00EE0FFD"/>
    <w:rsid w:val="00EE30F8"/>
    <w:rsid w:val="00F03D8C"/>
    <w:rsid w:val="00F101CB"/>
    <w:rsid w:val="00F601DC"/>
    <w:rsid w:val="00F60949"/>
    <w:rsid w:val="00F7022A"/>
    <w:rsid w:val="00F714EF"/>
    <w:rsid w:val="00F7660E"/>
    <w:rsid w:val="00F906D4"/>
    <w:rsid w:val="00F9075F"/>
    <w:rsid w:val="00FC3884"/>
    <w:rsid w:val="00FD0A4F"/>
    <w:rsid w:val="00FD6D39"/>
    <w:rsid w:val="00FF74C5"/>
    <w:rsid w:val="00FF7A12"/>
    <w:rsid w:val="00FFA5AA"/>
    <w:rsid w:val="115D8BC3"/>
    <w:rsid w:val="16D0D728"/>
    <w:rsid w:val="32C363C2"/>
    <w:rsid w:val="3E742B29"/>
    <w:rsid w:val="404C3BA5"/>
    <w:rsid w:val="4083658C"/>
    <w:rsid w:val="51A00EF2"/>
    <w:rsid w:val="525ABB85"/>
    <w:rsid w:val="542C403C"/>
    <w:rsid w:val="70E62621"/>
    <w:rsid w:val="7C3936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288ECC"/>
  <w15:chartTrackingRefBased/>
  <w15:docId w15:val="{3BFDD7D0-2098-4719-B3EC-20ECCC19A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7872"/>
    <w:pPr>
      <w:widowControl w:val="0"/>
      <w:suppressAutoHyphens/>
      <w:autoSpaceDE w:val="0"/>
      <w:autoSpaceDN w:val="0"/>
      <w:adjustRightInd w:val="0"/>
      <w:spacing w:after="0" w:line="280" w:lineRule="exact"/>
      <w:textAlignment w:val="center"/>
    </w:pPr>
    <w:rPr>
      <w:rFonts w:ascii="Arial" w:eastAsia="Times New Roman" w:hAnsi="Arial" w:cs="Times New Roman"/>
      <w:color w:val="000000" w:themeColor="text1"/>
      <w:sz w:val="18"/>
      <w:szCs w:val="18"/>
      <w:lang w:eastAsia="en-GB"/>
    </w:rPr>
  </w:style>
  <w:style w:type="paragraph" w:styleId="Heading1">
    <w:name w:val="heading 1"/>
    <w:basedOn w:val="Normal"/>
    <w:next w:val="Normal"/>
    <w:link w:val="Heading1Char"/>
    <w:uiPriority w:val="9"/>
    <w:qFormat/>
    <w:rsid w:val="001B787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8109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0775D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1B7872"/>
    <w:pPr>
      <w:widowControl/>
      <w:suppressAutoHyphens w:val="0"/>
      <w:autoSpaceDE/>
      <w:autoSpaceDN/>
      <w:adjustRightInd/>
      <w:spacing w:before="100" w:beforeAutospacing="1" w:after="100" w:afterAutospacing="1" w:line="240" w:lineRule="auto"/>
      <w:textAlignment w:val="auto"/>
    </w:pPr>
    <w:rPr>
      <w:rFonts w:ascii="Times New Roman" w:hAnsi="Times New Roman"/>
      <w:color w:val="auto"/>
      <w:sz w:val="24"/>
      <w:szCs w:val="24"/>
    </w:rPr>
  </w:style>
  <w:style w:type="character" w:customStyle="1" w:styleId="normaltextrun">
    <w:name w:val="normaltextrun"/>
    <w:basedOn w:val="DefaultParagraphFont"/>
    <w:rsid w:val="001B7872"/>
  </w:style>
  <w:style w:type="character" w:customStyle="1" w:styleId="eop">
    <w:name w:val="eop"/>
    <w:basedOn w:val="DefaultParagraphFont"/>
    <w:rsid w:val="001B7872"/>
  </w:style>
  <w:style w:type="paragraph" w:styleId="Header">
    <w:name w:val="header"/>
    <w:basedOn w:val="Normal"/>
    <w:link w:val="HeaderChar"/>
    <w:uiPriority w:val="99"/>
    <w:unhideWhenUsed/>
    <w:rsid w:val="001B7872"/>
    <w:pPr>
      <w:tabs>
        <w:tab w:val="center" w:pos="4513"/>
        <w:tab w:val="right" w:pos="9026"/>
      </w:tabs>
      <w:spacing w:line="240" w:lineRule="auto"/>
    </w:pPr>
  </w:style>
  <w:style w:type="character" w:customStyle="1" w:styleId="HeaderChar">
    <w:name w:val="Header Char"/>
    <w:basedOn w:val="DefaultParagraphFont"/>
    <w:link w:val="Header"/>
    <w:uiPriority w:val="99"/>
    <w:rsid w:val="001B7872"/>
    <w:rPr>
      <w:rFonts w:ascii="Arial" w:eastAsia="Times New Roman" w:hAnsi="Arial" w:cs="Times New Roman"/>
      <w:color w:val="000000" w:themeColor="text1"/>
      <w:sz w:val="18"/>
      <w:szCs w:val="18"/>
      <w:lang w:eastAsia="en-GB"/>
    </w:rPr>
  </w:style>
  <w:style w:type="paragraph" w:styleId="Footer">
    <w:name w:val="footer"/>
    <w:basedOn w:val="Normal"/>
    <w:link w:val="FooterChar"/>
    <w:uiPriority w:val="99"/>
    <w:unhideWhenUsed/>
    <w:rsid w:val="001B7872"/>
    <w:pPr>
      <w:tabs>
        <w:tab w:val="center" w:pos="4513"/>
        <w:tab w:val="right" w:pos="9026"/>
      </w:tabs>
      <w:spacing w:line="240" w:lineRule="auto"/>
    </w:pPr>
  </w:style>
  <w:style w:type="character" w:customStyle="1" w:styleId="FooterChar">
    <w:name w:val="Footer Char"/>
    <w:basedOn w:val="DefaultParagraphFont"/>
    <w:link w:val="Footer"/>
    <w:uiPriority w:val="99"/>
    <w:rsid w:val="001B7872"/>
    <w:rPr>
      <w:rFonts w:ascii="Arial" w:eastAsia="Times New Roman" w:hAnsi="Arial" w:cs="Times New Roman"/>
      <w:color w:val="000000" w:themeColor="text1"/>
      <w:sz w:val="18"/>
      <w:szCs w:val="18"/>
      <w:lang w:eastAsia="en-GB"/>
    </w:rPr>
  </w:style>
  <w:style w:type="paragraph" w:styleId="NoSpacing">
    <w:name w:val="No Spacing"/>
    <w:uiPriority w:val="1"/>
    <w:qFormat/>
    <w:rsid w:val="001B7872"/>
    <w:pPr>
      <w:widowControl w:val="0"/>
      <w:suppressAutoHyphens/>
      <w:autoSpaceDE w:val="0"/>
      <w:autoSpaceDN w:val="0"/>
      <w:adjustRightInd w:val="0"/>
      <w:spacing w:after="0" w:line="240" w:lineRule="auto"/>
      <w:textAlignment w:val="center"/>
    </w:pPr>
    <w:rPr>
      <w:rFonts w:ascii="Arial" w:eastAsia="Times New Roman" w:hAnsi="Arial" w:cs="Times New Roman"/>
      <w:color w:val="000000" w:themeColor="text1"/>
      <w:sz w:val="18"/>
      <w:szCs w:val="18"/>
      <w:lang w:eastAsia="en-GB"/>
    </w:rPr>
  </w:style>
  <w:style w:type="character" w:customStyle="1" w:styleId="Heading1Char">
    <w:name w:val="Heading 1 Char"/>
    <w:basedOn w:val="DefaultParagraphFont"/>
    <w:link w:val="Heading1"/>
    <w:uiPriority w:val="9"/>
    <w:rsid w:val="001B7872"/>
    <w:rPr>
      <w:rFonts w:asciiTheme="majorHAnsi" w:eastAsiaTheme="majorEastAsia" w:hAnsiTheme="majorHAnsi" w:cstheme="majorBidi"/>
      <w:color w:val="2F5496" w:themeColor="accent1" w:themeShade="BF"/>
      <w:sz w:val="32"/>
      <w:szCs w:val="32"/>
      <w:lang w:eastAsia="en-GB"/>
    </w:rPr>
  </w:style>
  <w:style w:type="character" w:styleId="Hyperlink">
    <w:name w:val="Hyperlink"/>
    <w:basedOn w:val="DefaultParagraphFont"/>
    <w:uiPriority w:val="99"/>
    <w:unhideWhenUsed/>
    <w:rsid w:val="00201B37"/>
    <w:rPr>
      <w:color w:val="0563C1" w:themeColor="hyperlink"/>
      <w:u w:val="single"/>
    </w:rPr>
  </w:style>
  <w:style w:type="character" w:styleId="UnresolvedMention">
    <w:name w:val="Unresolved Mention"/>
    <w:basedOn w:val="DefaultParagraphFont"/>
    <w:uiPriority w:val="99"/>
    <w:semiHidden/>
    <w:unhideWhenUsed/>
    <w:rsid w:val="00201B37"/>
    <w:rPr>
      <w:color w:val="605E5C"/>
      <w:shd w:val="clear" w:color="auto" w:fill="E1DFDD"/>
    </w:rPr>
  </w:style>
  <w:style w:type="character" w:customStyle="1" w:styleId="apple-converted-space">
    <w:name w:val="apple-converted-space"/>
    <w:basedOn w:val="DefaultParagraphFont"/>
    <w:rsid w:val="00561EF0"/>
  </w:style>
  <w:style w:type="character" w:customStyle="1" w:styleId="scxw125585252">
    <w:name w:val="scxw125585252"/>
    <w:basedOn w:val="DefaultParagraphFont"/>
    <w:rsid w:val="00561EF0"/>
  </w:style>
  <w:style w:type="character" w:customStyle="1" w:styleId="Heading2Char">
    <w:name w:val="Heading 2 Char"/>
    <w:basedOn w:val="DefaultParagraphFont"/>
    <w:link w:val="Heading2"/>
    <w:uiPriority w:val="9"/>
    <w:rsid w:val="00B8109A"/>
    <w:rPr>
      <w:rFonts w:asciiTheme="majorHAnsi" w:eastAsiaTheme="majorEastAsia" w:hAnsiTheme="majorHAnsi" w:cstheme="majorBidi"/>
      <w:color w:val="2F5496" w:themeColor="accent1" w:themeShade="BF"/>
      <w:sz w:val="26"/>
      <w:szCs w:val="26"/>
      <w:lang w:eastAsia="en-GB"/>
    </w:rPr>
  </w:style>
  <w:style w:type="table" w:styleId="TableGrid">
    <w:name w:val="Table Grid"/>
    <w:basedOn w:val="TableNormal"/>
    <w:uiPriority w:val="39"/>
    <w:rsid w:val="00B810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8109A"/>
    <w:rPr>
      <w:sz w:val="16"/>
      <w:szCs w:val="16"/>
    </w:rPr>
  </w:style>
  <w:style w:type="paragraph" w:styleId="CommentText">
    <w:name w:val="annotation text"/>
    <w:basedOn w:val="Normal"/>
    <w:link w:val="CommentTextChar"/>
    <w:uiPriority w:val="99"/>
    <w:unhideWhenUsed/>
    <w:rsid w:val="00B8109A"/>
    <w:pPr>
      <w:widowControl/>
      <w:suppressAutoHyphens w:val="0"/>
      <w:autoSpaceDE/>
      <w:autoSpaceDN/>
      <w:adjustRightInd/>
      <w:spacing w:after="120" w:line="240" w:lineRule="auto"/>
      <w:jc w:val="both"/>
      <w:textAlignment w:val="auto"/>
    </w:pPr>
    <w:rPr>
      <w:rFonts w:ascii="Calibri Light" w:eastAsiaTheme="minorHAnsi" w:hAnsi="Calibri Light" w:cstheme="minorBidi"/>
      <w:color w:val="auto"/>
      <w:sz w:val="20"/>
      <w:szCs w:val="20"/>
      <w:lang w:val="fr-FR" w:eastAsia="en-US"/>
    </w:rPr>
  </w:style>
  <w:style w:type="character" w:customStyle="1" w:styleId="CommentTextChar">
    <w:name w:val="Comment Text Char"/>
    <w:basedOn w:val="DefaultParagraphFont"/>
    <w:link w:val="CommentText"/>
    <w:uiPriority w:val="99"/>
    <w:rsid w:val="00B8109A"/>
    <w:rPr>
      <w:rFonts w:ascii="Calibri Light" w:hAnsi="Calibri Light"/>
      <w:sz w:val="20"/>
      <w:szCs w:val="20"/>
      <w:lang w:val="fr-FR"/>
    </w:rPr>
  </w:style>
  <w:style w:type="character" w:styleId="Mention">
    <w:name w:val="Mention"/>
    <w:basedOn w:val="DefaultParagraphFont"/>
    <w:uiPriority w:val="99"/>
    <w:unhideWhenUsed/>
    <w:rsid w:val="00B8109A"/>
    <w:rPr>
      <w:color w:val="2B579A"/>
      <w:shd w:val="clear" w:color="auto" w:fill="E1DFDD"/>
    </w:rPr>
  </w:style>
  <w:style w:type="character" w:customStyle="1" w:styleId="Heading3Char">
    <w:name w:val="Heading 3 Char"/>
    <w:basedOn w:val="DefaultParagraphFont"/>
    <w:link w:val="Heading3"/>
    <w:uiPriority w:val="9"/>
    <w:semiHidden/>
    <w:rsid w:val="000775DD"/>
    <w:rPr>
      <w:rFonts w:asciiTheme="majorHAnsi" w:eastAsiaTheme="majorEastAsia" w:hAnsiTheme="majorHAnsi" w:cstheme="majorBidi"/>
      <w:color w:val="1F3763" w:themeColor="accent1" w:themeShade="7F"/>
      <w:sz w:val="24"/>
      <w:szCs w:val="24"/>
      <w:lang w:eastAsia="en-GB"/>
    </w:rPr>
  </w:style>
  <w:style w:type="paragraph" w:styleId="ListParagraph">
    <w:name w:val="List Paragraph"/>
    <w:basedOn w:val="Normal"/>
    <w:uiPriority w:val="34"/>
    <w:qFormat/>
    <w:rsid w:val="00C652EB"/>
    <w:pPr>
      <w:ind w:left="720"/>
      <w:contextualSpacing/>
    </w:pPr>
  </w:style>
  <w:style w:type="character" w:styleId="FollowedHyperlink">
    <w:name w:val="FollowedHyperlink"/>
    <w:basedOn w:val="DefaultParagraphFont"/>
    <w:uiPriority w:val="99"/>
    <w:semiHidden/>
    <w:unhideWhenUsed/>
    <w:rsid w:val="009D03C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447124">
      <w:bodyDiv w:val="1"/>
      <w:marLeft w:val="0"/>
      <w:marRight w:val="0"/>
      <w:marTop w:val="0"/>
      <w:marBottom w:val="0"/>
      <w:divBdr>
        <w:top w:val="none" w:sz="0" w:space="0" w:color="auto"/>
        <w:left w:val="none" w:sz="0" w:space="0" w:color="auto"/>
        <w:bottom w:val="none" w:sz="0" w:space="0" w:color="auto"/>
        <w:right w:val="none" w:sz="0" w:space="0" w:color="auto"/>
      </w:divBdr>
      <w:divsChild>
        <w:div w:id="949554840">
          <w:marLeft w:val="0"/>
          <w:marRight w:val="0"/>
          <w:marTop w:val="0"/>
          <w:marBottom w:val="0"/>
          <w:divBdr>
            <w:top w:val="none" w:sz="0" w:space="0" w:color="auto"/>
            <w:left w:val="none" w:sz="0" w:space="0" w:color="auto"/>
            <w:bottom w:val="none" w:sz="0" w:space="0" w:color="auto"/>
            <w:right w:val="none" w:sz="0" w:space="0" w:color="auto"/>
          </w:divBdr>
        </w:div>
        <w:div w:id="1588417144">
          <w:marLeft w:val="0"/>
          <w:marRight w:val="0"/>
          <w:marTop w:val="0"/>
          <w:marBottom w:val="0"/>
          <w:divBdr>
            <w:top w:val="none" w:sz="0" w:space="0" w:color="auto"/>
            <w:left w:val="none" w:sz="0" w:space="0" w:color="auto"/>
            <w:bottom w:val="none" w:sz="0" w:space="0" w:color="auto"/>
            <w:right w:val="none" w:sz="0" w:space="0" w:color="auto"/>
          </w:divBdr>
        </w:div>
        <w:div w:id="1984197006">
          <w:marLeft w:val="0"/>
          <w:marRight w:val="0"/>
          <w:marTop w:val="0"/>
          <w:marBottom w:val="0"/>
          <w:divBdr>
            <w:top w:val="none" w:sz="0" w:space="0" w:color="auto"/>
            <w:left w:val="none" w:sz="0" w:space="0" w:color="auto"/>
            <w:bottom w:val="none" w:sz="0" w:space="0" w:color="auto"/>
            <w:right w:val="none" w:sz="0" w:space="0" w:color="auto"/>
          </w:divBdr>
        </w:div>
        <w:div w:id="126631514">
          <w:marLeft w:val="0"/>
          <w:marRight w:val="0"/>
          <w:marTop w:val="0"/>
          <w:marBottom w:val="0"/>
          <w:divBdr>
            <w:top w:val="none" w:sz="0" w:space="0" w:color="auto"/>
            <w:left w:val="none" w:sz="0" w:space="0" w:color="auto"/>
            <w:bottom w:val="none" w:sz="0" w:space="0" w:color="auto"/>
            <w:right w:val="none" w:sz="0" w:space="0" w:color="auto"/>
          </w:divBdr>
        </w:div>
        <w:div w:id="319626188">
          <w:marLeft w:val="0"/>
          <w:marRight w:val="0"/>
          <w:marTop w:val="0"/>
          <w:marBottom w:val="0"/>
          <w:divBdr>
            <w:top w:val="none" w:sz="0" w:space="0" w:color="auto"/>
            <w:left w:val="none" w:sz="0" w:space="0" w:color="auto"/>
            <w:bottom w:val="none" w:sz="0" w:space="0" w:color="auto"/>
            <w:right w:val="none" w:sz="0" w:space="0" w:color="auto"/>
          </w:divBdr>
        </w:div>
        <w:div w:id="2087724471">
          <w:marLeft w:val="0"/>
          <w:marRight w:val="0"/>
          <w:marTop w:val="0"/>
          <w:marBottom w:val="0"/>
          <w:divBdr>
            <w:top w:val="none" w:sz="0" w:space="0" w:color="auto"/>
            <w:left w:val="none" w:sz="0" w:space="0" w:color="auto"/>
            <w:bottom w:val="none" w:sz="0" w:space="0" w:color="auto"/>
            <w:right w:val="none" w:sz="0" w:space="0" w:color="auto"/>
          </w:divBdr>
        </w:div>
        <w:div w:id="1870101396">
          <w:marLeft w:val="0"/>
          <w:marRight w:val="0"/>
          <w:marTop w:val="0"/>
          <w:marBottom w:val="0"/>
          <w:divBdr>
            <w:top w:val="none" w:sz="0" w:space="0" w:color="auto"/>
            <w:left w:val="none" w:sz="0" w:space="0" w:color="auto"/>
            <w:bottom w:val="none" w:sz="0" w:space="0" w:color="auto"/>
            <w:right w:val="none" w:sz="0" w:space="0" w:color="auto"/>
          </w:divBdr>
        </w:div>
      </w:divsChild>
    </w:div>
    <w:div w:id="646861886">
      <w:bodyDiv w:val="1"/>
      <w:marLeft w:val="0"/>
      <w:marRight w:val="0"/>
      <w:marTop w:val="0"/>
      <w:marBottom w:val="0"/>
      <w:divBdr>
        <w:top w:val="none" w:sz="0" w:space="0" w:color="auto"/>
        <w:left w:val="none" w:sz="0" w:space="0" w:color="auto"/>
        <w:bottom w:val="none" w:sz="0" w:space="0" w:color="auto"/>
        <w:right w:val="none" w:sz="0" w:space="0" w:color="auto"/>
      </w:divBdr>
      <w:divsChild>
        <w:div w:id="2135051913">
          <w:marLeft w:val="0"/>
          <w:marRight w:val="0"/>
          <w:marTop w:val="0"/>
          <w:marBottom w:val="0"/>
          <w:divBdr>
            <w:top w:val="none" w:sz="0" w:space="0" w:color="auto"/>
            <w:left w:val="none" w:sz="0" w:space="0" w:color="auto"/>
            <w:bottom w:val="none" w:sz="0" w:space="0" w:color="auto"/>
            <w:right w:val="none" w:sz="0" w:space="0" w:color="auto"/>
          </w:divBdr>
        </w:div>
        <w:div w:id="271211170">
          <w:marLeft w:val="0"/>
          <w:marRight w:val="0"/>
          <w:marTop w:val="0"/>
          <w:marBottom w:val="0"/>
          <w:divBdr>
            <w:top w:val="none" w:sz="0" w:space="0" w:color="auto"/>
            <w:left w:val="none" w:sz="0" w:space="0" w:color="auto"/>
            <w:bottom w:val="none" w:sz="0" w:space="0" w:color="auto"/>
            <w:right w:val="none" w:sz="0" w:space="0" w:color="auto"/>
          </w:divBdr>
        </w:div>
        <w:div w:id="289213426">
          <w:marLeft w:val="0"/>
          <w:marRight w:val="0"/>
          <w:marTop w:val="0"/>
          <w:marBottom w:val="0"/>
          <w:divBdr>
            <w:top w:val="none" w:sz="0" w:space="0" w:color="auto"/>
            <w:left w:val="none" w:sz="0" w:space="0" w:color="auto"/>
            <w:bottom w:val="none" w:sz="0" w:space="0" w:color="auto"/>
            <w:right w:val="none" w:sz="0" w:space="0" w:color="auto"/>
          </w:divBdr>
        </w:div>
        <w:div w:id="1295794681">
          <w:marLeft w:val="0"/>
          <w:marRight w:val="0"/>
          <w:marTop w:val="0"/>
          <w:marBottom w:val="0"/>
          <w:divBdr>
            <w:top w:val="none" w:sz="0" w:space="0" w:color="auto"/>
            <w:left w:val="none" w:sz="0" w:space="0" w:color="auto"/>
            <w:bottom w:val="none" w:sz="0" w:space="0" w:color="auto"/>
            <w:right w:val="none" w:sz="0" w:space="0" w:color="auto"/>
          </w:divBdr>
        </w:div>
        <w:div w:id="69155570">
          <w:marLeft w:val="0"/>
          <w:marRight w:val="0"/>
          <w:marTop w:val="0"/>
          <w:marBottom w:val="0"/>
          <w:divBdr>
            <w:top w:val="none" w:sz="0" w:space="0" w:color="auto"/>
            <w:left w:val="none" w:sz="0" w:space="0" w:color="auto"/>
            <w:bottom w:val="none" w:sz="0" w:space="0" w:color="auto"/>
            <w:right w:val="none" w:sz="0" w:space="0" w:color="auto"/>
          </w:divBdr>
        </w:div>
        <w:div w:id="2125034248">
          <w:marLeft w:val="0"/>
          <w:marRight w:val="0"/>
          <w:marTop w:val="0"/>
          <w:marBottom w:val="0"/>
          <w:divBdr>
            <w:top w:val="none" w:sz="0" w:space="0" w:color="auto"/>
            <w:left w:val="none" w:sz="0" w:space="0" w:color="auto"/>
            <w:bottom w:val="none" w:sz="0" w:space="0" w:color="auto"/>
            <w:right w:val="none" w:sz="0" w:space="0" w:color="auto"/>
          </w:divBdr>
        </w:div>
        <w:div w:id="324212045">
          <w:marLeft w:val="0"/>
          <w:marRight w:val="0"/>
          <w:marTop w:val="0"/>
          <w:marBottom w:val="0"/>
          <w:divBdr>
            <w:top w:val="none" w:sz="0" w:space="0" w:color="auto"/>
            <w:left w:val="none" w:sz="0" w:space="0" w:color="auto"/>
            <w:bottom w:val="none" w:sz="0" w:space="0" w:color="auto"/>
            <w:right w:val="none" w:sz="0" w:space="0" w:color="auto"/>
          </w:divBdr>
        </w:div>
        <w:div w:id="853109939">
          <w:marLeft w:val="0"/>
          <w:marRight w:val="0"/>
          <w:marTop w:val="0"/>
          <w:marBottom w:val="0"/>
          <w:divBdr>
            <w:top w:val="none" w:sz="0" w:space="0" w:color="auto"/>
            <w:left w:val="none" w:sz="0" w:space="0" w:color="auto"/>
            <w:bottom w:val="none" w:sz="0" w:space="0" w:color="auto"/>
            <w:right w:val="none" w:sz="0" w:space="0" w:color="auto"/>
          </w:divBdr>
        </w:div>
        <w:div w:id="758987692">
          <w:marLeft w:val="0"/>
          <w:marRight w:val="0"/>
          <w:marTop w:val="0"/>
          <w:marBottom w:val="0"/>
          <w:divBdr>
            <w:top w:val="none" w:sz="0" w:space="0" w:color="auto"/>
            <w:left w:val="none" w:sz="0" w:space="0" w:color="auto"/>
            <w:bottom w:val="none" w:sz="0" w:space="0" w:color="auto"/>
            <w:right w:val="none" w:sz="0" w:space="0" w:color="auto"/>
          </w:divBdr>
        </w:div>
        <w:div w:id="1069421851">
          <w:marLeft w:val="0"/>
          <w:marRight w:val="0"/>
          <w:marTop w:val="0"/>
          <w:marBottom w:val="0"/>
          <w:divBdr>
            <w:top w:val="none" w:sz="0" w:space="0" w:color="auto"/>
            <w:left w:val="none" w:sz="0" w:space="0" w:color="auto"/>
            <w:bottom w:val="none" w:sz="0" w:space="0" w:color="auto"/>
            <w:right w:val="none" w:sz="0" w:space="0" w:color="auto"/>
          </w:divBdr>
        </w:div>
        <w:div w:id="1167327410">
          <w:marLeft w:val="0"/>
          <w:marRight w:val="0"/>
          <w:marTop w:val="0"/>
          <w:marBottom w:val="0"/>
          <w:divBdr>
            <w:top w:val="none" w:sz="0" w:space="0" w:color="auto"/>
            <w:left w:val="none" w:sz="0" w:space="0" w:color="auto"/>
            <w:bottom w:val="none" w:sz="0" w:space="0" w:color="auto"/>
            <w:right w:val="none" w:sz="0" w:space="0" w:color="auto"/>
          </w:divBdr>
        </w:div>
        <w:div w:id="701170656">
          <w:marLeft w:val="0"/>
          <w:marRight w:val="0"/>
          <w:marTop w:val="0"/>
          <w:marBottom w:val="0"/>
          <w:divBdr>
            <w:top w:val="none" w:sz="0" w:space="0" w:color="auto"/>
            <w:left w:val="none" w:sz="0" w:space="0" w:color="auto"/>
            <w:bottom w:val="none" w:sz="0" w:space="0" w:color="auto"/>
            <w:right w:val="none" w:sz="0" w:space="0" w:color="auto"/>
          </w:divBdr>
        </w:div>
        <w:div w:id="988753409">
          <w:marLeft w:val="0"/>
          <w:marRight w:val="0"/>
          <w:marTop w:val="0"/>
          <w:marBottom w:val="0"/>
          <w:divBdr>
            <w:top w:val="none" w:sz="0" w:space="0" w:color="auto"/>
            <w:left w:val="none" w:sz="0" w:space="0" w:color="auto"/>
            <w:bottom w:val="none" w:sz="0" w:space="0" w:color="auto"/>
            <w:right w:val="none" w:sz="0" w:space="0" w:color="auto"/>
          </w:divBdr>
        </w:div>
        <w:div w:id="1970435476">
          <w:marLeft w:val="0"/>
          <w:marRight w:val="0"/>
          <w:marTop w:val="0"/>
          <w:marBottom w:val="0"/>
          <w:divBdr>
            <w:top w:val="none" w:sz="0" w:space="0" w:color="auto"/>
            <w:left w:val="none" w:sz="0" w:space="0" w:color="auto"/>
            <w:bottom w:val="none" w:sz="0" w:space="0" w:color="auto"/>
            <w:right w:val="none" w:sz="0" w:space="0" w:color="auto"/>
          </w:divBdr>
        </w:div>
        <w:div w:id="1447576744">
          <w:marLeft w:val="0"/>
          <w:marRight w:val="0"/>
          <w:marTop w:val="0"/>
          <w:marBottom w:val="0"/>
          <w:divBdr>
            <w:top w:val="none" w:sz="0" w:space="0" w:color="auto"/>
            <w:left w:val="none" w:sz="0" w:space="0" w:color="auto"/>
            <w:bottom w:val="none" w:sz="0" w:space="0" w:color="auto"/>
            <w:right w:val="none" w:sz="0" w:space="0" w:color="auto"/>
          </w:divBdr>
        </w:div>
        <w:div w:id="2054183852">
          <w:marLeft w:val="0"/>
          <w:marRight w:val="0"/>
          <w:marTop w:val="0"/>
          <w:marBottom w:val="0"/>
          <w:divBdr>
            <w:top w:val="none" w:sz="0" w:space="0" w:color="auto"/>
            <w:left w:val="none" w:sz="0" w:space="0" w:color="auto"/>
            <w:bottom w:val="none" w:sz="0" w:space="0" w:color="auto"/>
            <w:right w:val="none" w:sz="0" w:space="0" w:color="auto"/>
          </w:divBdr>
        </w:div>
        <w:div w:id="2000697080">
          <w:marLeft w:val="0"/>
          <w:marRight w:val="0"/>
          <w:marTop w:val="0"/>
          <w:marBottom w:val="0"/>
          <w:divBdr>
            <w:top w:val="none" w:sz="0" w:space="0" w:color="auto"/>
            <w:left w:val="none" w:sz="0" w:space="0" w:color="auto"/>
            <w:bottom w:val="none" w:sz="0" w:space="0" w:color="auto"/>
            <w:right w:val="none" w:sz="0" w:space="0" w:color="auto"/>
          </w:divBdr>
        </w:div>
        <w:div w:id="1381855124">
          <w:marLeft w:val="0"/>
          <w:marRight w:val="0"/>
          <w:marTop w:val="0"/>
          <w:marBottom w:val="0"/>
          <w:divBdr>
            <w:top w:val="none" w:sz="0" w:space="0" w:color="auto"/>
            <w:left w:val="none" w:sz="0" w:space="0" w:color="auto"/>
            <w:bottom w:val="none" w:sz="0" w:space="0" w:color="auto"/>
            <w:right w:val="none" w:sz="0" w:space="0" w:color="auto"/>
          </w:divBdr>
        </w:div>
        <w:div w:id="650446057">
          <w:marLeft w:val="0"/>
          <w:marRight w:val="0"/>
          <w:marTop w:val="0"/>
          <w:marBottom w:val="0"/>
          <w:divBdr>
            <w:top w:val="none" w:sz="0" w:space="0" w:color="auto"/>
            <w:left w:val="none" w:sz="0" w:space="0" w:color="auto"/>
            <w:bottom w:val="none" w:sz="0" w:space="0" w:color="auto"/>
            <w:right w:val="none" w:sz="0" w:space="0" w:color="auto"/>
          </w:divBdr>
        </w:div>
        <w:div w:id="1828859387">
          <w:marLeft w:val="0"/>
          <w:marRight w:val="0"/>
          <w:marTop w:val="0"/>
          <w:marBottom w:val="0"/>
          <w:divBdr>
            <w:top w:val="none" w:sz="0" w:space="0" w:color="auto"/>
            <w:left w:val="none" w:sz="0" w:space="0" w:color="auto"/>
            <w:bottom w:val="none" w:sz="0" w:space="0" w:color="auto"/>
            <w:right w:val="none" w:sz="0" w:space="0" w:color="auto"/>
          </w:divBdr>
        </w:div>
        <w:div w:id="2106414696">
          <w:marLeft w:val="0"/>
          <w:marRight w:val="0"/>
          <w:marTop w:val="0"/>
          <w:marBottom w:val="0"/>
          <w:divBdr>
            <w:top w:val="none" w:sz="0" w:space="0" w:color="auto"/>
            <w:left w:val="none" w:sz="0" w:space="0" w:color="auto"/>
            <w:bottom w:val="none" w:sz="0" w:space="0" w:color="auto"/>
            <w:right w:val="none" w:sz="0" w:space="0" w:color="auto"/>
          </w:divBdr>
        </w:div>
        <w:div w:id="1983390684">
          <w:marLeft w:val="0"/>
          <w:marRight w:val="0"/>
          <w:marTop w:val="0"/>
          <w:marBottom w:val="0"/>
          <w:divBdr>
            <w:top w:val="none" w:sz="0" w:space="0" w:color="auto"/>
            <w:left w:val="none" w:sz="0" w:space="0" w:color="auto"/>
            <w:bottom w:val="none" w:sz="0" w:space="0" w:color="auto"/>
            <w:right w:val="none" w:sz="0" w:space="0" w:color="auto"/>
          </w:divBdr>
        </w:div>
        <w:div w:id="974289760">
          <w:marLeft w:val="0"/>
          <w:marRight w:val="0"/>
          <w:marTop w:val="0"/>
          <w:marBottom w:val="0"/>
          <w:divBdr>
            <w:top w:val="none" w:sz="0" w:space="0" w:color="auto"/>
            <w:left w:val="none" w:sz="0" w:space="0" w:color="auto"/>
            <w:bottom w:val="none" w:sz="0" w:space="0" w:color="auto"/>
            <w:right w:val="none" w:sz="0" w:space="0" w:color="auto"/>
          </w:divBdr>
        </w:div>
        <w:div w:id="1004477889">
          <w:marLeft w:val="0"/>
          <w:marRight w:val="0"/>
          <w:marTop w:val="0"/>
          <w:marBottom w:val="0"/>
          <w:divBdr>
            <w:top w:val="none" w:sz="0" w:space="0" w:color="auto"/>
            <w:left w:val="none" w:sz="0" w:space="0" w:color="auto"/>
            <w:bottom w:val="none" w:sz="0" w:space="0" w:color="auto"/>
            <w:right w:val="none" w:sz="0" w:space="0" w:color="auto"/>
          </w:divBdr>
        </w:div>
        <w:div w:id="2015959822">
          <w:marLeft w:val="0"/>
          <w:marRight w:val="0"/>
          <w:marTop w:val="0"/>
          <w:marBottom w:val="0"/>
          <w:divBdr>
            <w:top w:val="none" w:sz="0" w:space="0" w:color="auto"/>
            <w:left w:val="none" w:sz="0" w:space="0" w:color="auto"/>
            <w:bottom w:val="none" w:sz="0" w:space="0" w:color="auto"/>
            <w:right w:val="none" w:sz="0" w:space="0" w:color="auto"/>
          </w:divBdr>
        </w:div>
        <w:div w:id="187640561">
          <w:marLeft w:val="0"/>
          <w:marRight w:val="0"/>
          <w:marTop w:val="0"/>
          <w:marBottom w:val="0"/>
          <w:divBdr>
            <w:top w:val="none" w:sz="0" w:space="0" w:color="auto"/>
            <w:left w:val="none" w:sz="0" w:space="0" w:color="auto"/>
            <w:bottom w:val="none" w:sz="0" w:space="0" w:color="auto"/>
            <w:right w:val="none" w:sz="0" w:space="0" w:color="auto"/>
          </w:divBdr>
        </w:div>
        <w:div w:id="1928689781">
          <w:marLeft w:val="0"/>
          <w:marRight w:val="0"/>
          <w:marTop w:val="0"/>
          <w:marBottom w:val="0"/>
          <w:divBdr>
            <w:top w:val="none" w:sz="0" w:space="0" w:color="auto"/>
            <w:left w:val="none" w:sz="0" w:space="0" w:color="auto"/>
            <w:bottom w:val="none" w:sz="0" w:space="0" w:color="auto"/>
            <w:right w:val="none" w:sz="0" w:space="0" w:color="auto"/>
          </w:divBdr>
        </w:div>
        <w:div w:id="1268197624">
          <w:marLeft w:val="0"/>
          <w:marRight w:val="0"/>
          <w:marTop w:val="0"/>
          <w:marBottom w:val="0"/>
          <w:divBdr>
            <w:top w:val="none" w:sz="0" w:space="0" w:color="auto"/>
            <w:left w:val="none" w:sz="0" w:space="0" w:color="auto"/>
            <w:bottom w:val="none" w:sz="0" w:space="0" w:color="auto"/>
            <w:right w:val="none" w:sz="0" w:space="0" w:color="auto"/>
          </w:divBdr>
        </w:div>
        <w:div w:id="1184825857">
          <w:marLeft w:val="0"/>
          <w:marRight w:val="0"/>
          <w:marTop w:val="0"/>
          <w:marBottom w:val="0"/>
          <w:divBdr>
            <w:top w:val="none" w:sz="0" w:space="0" w:color="auto"/>
            <w:left w:val="none" w:sz="0" w:space="0" w:color="auto"/>
            <w:bottom w:val="none" w:sz="0" w:space="0" w:color="auto"/>
            <w:right w:val="none" w:sz="0" w:space="0" w:color="auto"/>
          </w:divBdr>
        </w:div>
        <w:div w:id="2055539063">
          <w:marLeft w:val="0"/>
          <w:marRight w:val="0"/>
          <w:marTop w:val="0"/>
          <w:marBottom w:val="0"/>
          <w:divBdr>
            <w:top w:val="none" w:sz="0" w:space="0" w:color="auto"/>
            <w:left w:val="none" w:sz="0" w:space="0" w:color="auto"/>
            <w:bottom w:val="none" w:sz="0" w:space="0" w:color="auto"/>
            <w:right w:val="none" w:sz="0" w:space="0" w:color="auto"/>
          </w:divBdr>
        </w:div>
        <w:div w:id="357774008">
          <w:marLeft w:val="0"/>
          <w:marRight w:val="0"/>
          <w:marTop w:val="0"/>
          <w:marBottom w:val="0"/>
          <w:divBdr>
            <w:top w:val="none" w:sz="0" w:space="0" w:color="auto"/>
            <w:left w:val="none" w:sz="0" w:space="0" w:color="auto"/>
            <w:bottom w:val="none" w:sz="0" w:space="0" w:color="auto"/>
            <w:right w:val="none" w:sz="0" w:space="0" w:color="auto"/>
          </w:divBdr>
        </w:div>
        <w:div w:id="1112553580">
          <w:marLeft w:val="0"/>
          <w:marRight w:val="0"/>
          <w:marTop w:val="0"/>
          <w:marBottom w:val="0"/>
          <w:divBdr>
            <w:top w:val="none" w:sz="0" w:space="0" w:color="auto"/>
            <w:left w:val="none" w:sz="0" w:space="0" w:color="auto"/>
            <w:bottom w:val="none" w:sz="0" w:space="0" w:color="auto"/>
            <w:right w:val="none" w:sz="0" w:space="0" w:color="auto"/>
          </w:divBdr>
        </w:div>
        <w:div w:id="262110785">
          <w:marLeft w:val="0"/>
          <w:marRight w:val="0"/>
          <w:marTop w:val="0"/>
          <w:marBottom w:val="0"/>
          <w:divBdr>
            <w:top w:val="none" w:sz="0" w:space="0" w:color="auto"/>
            <w:left w:val="none" w:sz="0" w:space="0" w:color="auto"/>
            <w:bottom w:val="none" w:sz="0" w:space="0" w:color="auto"/>
            <w:right w:val="none" w:sz="0" w:space="0" w:color="auto"/>
          </w:divBdr>
        </w:div>
        <w:div w:id="764691002">
          <w:marLeft w:val="0"/>
          <w:marRight w:val="0"/>
          <w:marTop w:val="0"/>
          <w:marBottom w:val="0"/>
          <w:divBdr>
            <w:top w:val="none" w:sz="0" w:space="0" w:color="auto"/>
            <w:left w:val="none" w:sz="0" w:space="0" w:color="auto"/>
            <w:bottom w:val="none" w:sz="0" w:space="0" w:color="auto"/>
            <w:right w:val="none" w:sz="0" w:space="0" w:color="auto"/>
          </w:divBdr>
        </w:div>
        <w:div w:id="1372609053">
          <w:marLeft w:val="0"/>
          <w:marRight w:val="0"/>
          <w:marTop w:val="0"/>
          <w:marBottom w:val="0"/>
          <w:divBdr>
            <w:top w:val="none" w:sz="0" w:space="0" w:color="auto"/>
            <w:left w:val="none" w:sz="0" w:space="0" w:color="auto"/>
            <w:bottom w:val="none" w:sz="0" w:space="0" w:color="auto"/>
            <w:right w:val="none" w:sz="0" w:space="0" w:color="auto"/>
          </w:divBdr>
        </w:div>
        <w:div w:id="696010267">
          <w:marLeft w:val="0"/>
          <w:marRight w:val="0"/>
          <w:marTop w:val="0"/>
          <w:marBottom w:val="0"/>
          <w:divBdr>
            <w:top w:val="none" w:sz="0" w:space="0" w:color="auto"/>
            <w:left w:val="none" w:sz="0" w:space="0" w:color="auto"/>
            <w:bottom w:val="none" w:sz="0" w:space="0" w:color="auto"/>
            <w:right w:val="none" w:sz="0" w:space="0" w:color="auto"/>
          </w:divBdr>
        </w:div>
        <w:div w:id="182404063">
          <w:marLeft w:val="0"/>
          <w:marRight w:val="0"/>
          <w:marTop w:val="0"/>
          <w:marBottom w:val="0"/>
          <w:divBdr>
            <w:top w:val="none" w:sz="0" w:space="0" w:color="auto"/>
            <w:left w:val="none" w:sz="0" w:space="0" w:color="auto"/>
            <w:bottom w:val="none" w:sz="0" w:space="0" w:color="auto"/>
            <w:right w:val="none" w:sz="0" w:space="0" w:color="auto"/>
          </w:divBdr>
        </w:div>
        <w:div w:id="1790856004">
          <w:marLeft w:val="0"/>
          <w:marRight w:val="0"/>
          <w:marTop w:val="0"/>
          <w:marBottom w:val="0"/>
          <w:divBdr>
            <w:top w:val="none" w:sz="0" w:space="0" w:color="auto"/>
            <w:left w:val="none" w:sz="0" w:space="0" w:color="auto"/>
            <w:bottom w:val="none" w:sz="0" w:space="0" w:color="auto"/>
            <w:right w:val="none" w:sz="0" w:space="0" w:color="auto"/>
          </w:divBdr>
        </w:div>
        <w:div w:id="282812784">
          <w:marLeft w:val="0"/>
          <w:marRight w:val="0"/>
          <w:marTop w:val="0"/>
          <w:marBottom w:val="0"/>
          <w:divBdr>
            <w:top w:val="none" w:sz="0" w:space="0" w:color="auto"/>
            <w:left w:val="none" w:sz="0" w:space="0" w:color="auto"/>
            <w:bottom w:val="none" w:sz="0" w:space="0" w:color="auto"/>
            <w:right w:val="none" w:sz="0" w:space="0" w:color="auto"/>
          </w:divBdr>
        </w:div>
        <w:div w:id="598298017">
          <w:marLeft w:val="0"/>
          <w:marRight w:val="0"/>
          <w:marTop w:val="0"/>
          <w:marBottom w:val="0"/>
          <w:divBdr>
            <w:top w:val="none" w:sz="0" w:space="0" w:color="auto"/>
            <w:left w:val="none" w:sz="0" w:space="0" w:color="auto"/>
            <w:bottom w:val="none" w:sz="0" w:space="0" w:color="auto"/>
            <w:right w:val="none" w:sz="0" w:space="0" w:color="auto"/>
          </w:divBdr>
        </w:div>
      </w:divsChild>
    </w:div>
    <w:div w:id="995962798">
      <w:bodyDiv w:val="1"/>
      <w:marLeft w:val="0"/>
      <w:marRight w:val="0"/>
      <w:marTop w:val="0"/>
      <w:marBottom w:val="0"/>
      <w:divBdr>
        <w:top w:val="none" w:sz="0" w:space="0" w:color="auto"/>
        <w:left w:val="none" w:sz="0" w:space="0" w:color="auto"/>
        <w:bottom w:val="none" w:sz="0" w:space="0" w:color="auto"/>
        <w:right w:val="none" w:sz="0" w:space="0" w:color="auto"/>
      </w:divBdr>
    </w:div>
    <w:div w:id="1165558340">
      <w:bodyDiv w:val="1"/>
      <w:marLeft w:val="0"/>
      <w:marRight w:val="0"/>
      <w:marTop w:val="0"/>
      <w:marBottom w:val="0"/>
      <w:divBdr>
        <w:top w:val="none" w:sz="0" w:space="0" w:color="auto"/>
        <w:left w:val="none" w:sz="0" w:space="0" w:color="auto"/>
        <w:bottom w:val="none" w:sz="0" w:space="0" w:color="auto"/>
        <w:right w:val="none" w:sz="0" w:space="0" w:color="auto"/>
      </w:divBdr>
    </w:div>
    <w:div w:id="1218786918">
      <w:bodyDiv w:val="1"/>
      <w:marLeft w:val="0"/>
      <w:marRight w:val="0"/>
      <w:marTop w:val="0"/>
      <w:marBottom w:val="0"/>
      <w:divBdr>
        <w:top w:val="none" w:sz="0" w:space="0" w:color="auto"/>
        <w:left w:val="none" w:sz="0" w:space="0" w:color="auto"/>
        <w:bottom w:val="none" w:sz="0" w:space="0" w:color="auto"/>
        <w:right w:val="none" w:sz="0" w:space="0" w:color="auto"/>
      </w:divBdr>
      <w:divsChild>
        <w:div w:id="1017274553">
          <w:marLeft w:val="0"/>
          <w:marRight w:val="0"/>
          <w:marTop w:val="0"/>
          <w:marBottom w:val="0"/>
          <w:divBdr>
            <w:top w:val="none" w:sz="0" w:space="0" w:color="auto"/>
            <w:left w:val="none" w:sz="0" w:space="0" w:color="auto"/>
            <w:bottom w:val="none" w:sz="0" w:space="0" w:color="auto"/>
            <w:right w:val="none" w:sz="0" w:space="0" w:color="auto"/>
          </w:divBdr>
          <w:divsChild>
            <w:div w:id="977106083">
              <w:marLeft w:val="0"/>
              <w:marRight w:val="0"/>
              <w:marTop w:val="0"/>
              <w:marBottom w:val="0"/>
              <w:divBdr>
                <w:top w:val="none" w:sz="0" w:space="0" w:color="auto"/>
                <w:left w:val="none" w:sz="0" w:space="0" w:color="auto"/>
                <w:bottom w:val="none" w:sz="0" w:space="0" w:color="auto"/>
                <w:right w:val="none" w:sz="0" w:space="0" w:color="auto"/>
              </w:divBdr>
              <w:divsChild>
                <w:div w:id="1050499023">
                  <w:marLeft w:val="0"/>
                  <w:marRight w:val="0"/>
                  <w:marTop w:val="0"/>
                  <w:marBottom w:val="0"/>
                  <w:divBdr>
                    <w:top w:val="none" w:sz="0" w:space="0" w:color="auto"/>
                    <w:left w:val="none" w:sz="0" w:space="0" w:color="auto"/>
                    <w:bottom w:val="none" w:sz="0" w:space="0" w:color="auto"/>
                    <w:right w:val="none" w:sz="0" w:space="0" w:color="auto"/>
                  </w:divBdr>
                  <w:divsChild>
                    <w:div w:id="52567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5207858">
      <w:bodyDiv w:val="1"/>
      <w:marLeft w:val="0"/>
      <w:marRight w:val="0"/>
      <w:marTop w:val="0"/>
      <w:marBottom w:val="0"/>
      <w:divBdr>
        <w:top w:val="none" w:sz="0" w:space="0" w:color="auto"/>
        <w:left w:val="none" w:sz="0" w:space="0" w:color="auto"/>
        <w:bottom w:val="none" w:sz="0" w:space="0" w:color="auto"/>
        <w:right w:val="none" w:sz="0" w:space="0" w:color="auto"/>
      </w:divBdr>
    </w:div>
    <w:div w:id="1945380515">
      <w:bodyDiv w:val="1"/>
      <w:marLeft w:val="0"/>
      <w:marRight w:val="0"/>
      <w:marTop w:val="0"/>
      <w:marBottom w:val="0"/>
      <w:divBdr>
        <w:top w:val="none" w:sz="0" w:space="0" w:color="auto"/>
        <w:left w:val="none" w:sz="0" w:space="0" w:color="auto"/>
        <w:bottom w:val="none" w:sz="0" w:space="0" w:color="auto"/>
        <w:right w:val="none" w:sz="0" w:space="0" w:color="auto"/>
      </w:divBdr>
    </w:div>
    <w:div w:id="1953242146">
      <w:bodyDiv w:val="1"/>
      <w:marLeft w:val="0"/>
      <w:marRight w:val="0"/>
      <w:marTop w:val="0"/>
      <w:marBottom w:val="0"/>
      <w:divBdr>
        <w:top w:val="none" w:sz="0" w:space="0" w:color="auto"/>
        <w:left w:val="none" w:sz="0" w:space="0" w:color="auto"/>
        <w:bottom w:val="none" w:sz="0" w:space="0" w:color="auto"/>
        <w:right w:val="none" w:sz="0" w:space="0" w:color="auto"/>
      </w:divBdr>
      <w:divsChild>
        <w:div w:id="965433527">
          <w:marLeft w:val="0"/>
          <w:marRight w:val="0"/>
          <w:marTop w:val="0"/>
          <w:marBottom w:val="0"/>
          <w:divBdr>
            <w:top w:val="none" w:sz="0" w:space="0" w:color="auto"/>
            <w:left w:val="none" w:sz="0" w:space="0" w:color="auto"/>
            <w:bottom w:val="none" w:sz="0" w:space="0" w:color="auto"/>
            <w:right w:val="none" w:sz="0" w:space="0" w:color="auto"/>
          </w:divBdr>
          <w:divsChild>
            <w:div w:id="2129816615">
              <w:marLeft w:val="0"/>
              <w:marRight w:val="0"/>
              <w:marTop w:val="0"/>
              <w:marBottom w:val="0"/>
              <w:divBdr>
                <w:top w:val="none" w:sz="0" w:space="0" w:color="auto"/>
                <w:left w:val="none" w:sz="0" w:space="0" w:color="auto"/>
                <w:bottom w:val="none" w:sz="0" w:space="0" w:color="auto"/>
                <w:right w:val="none" w:sz="0" w:space="0" w:color="auto"/>
              </w:divBdr>
              <w:divsChild>
                <w:div w:id="2058777805">
                  <w:marLeft w:val="0"/>
                  <w:marRight w:val="0"/>
                  <w:marTop w:val="0"/>
                  <w:marBottom w:val="0"/>
                  <w:divBdr>
                    <w:top w:val="none" w:sz="0" w:space="0" w:color="auto"/>
                    <w:left w:val="none" w:sz="0" w:space="0" w:color="auto"/>
                    <w:bottom w:val="none" w:sz="0" w:space="0" w:color="auto"/>
                    <w:right w:val="none" w:sz="0" w:space="0" w:color="auto"/>
                  </w:divBdr>
                  <w:divsChild>
                    <w:div w:id="36637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ghgprotocol.org/land-sector-and-removals-guidance" TargetMode="External"/><Relationship Id="rId18" Type="http://schemas.openxmlformats.org/officeDocument/2006/relationships/hyperlink" Target="https://sciencebasedtargets.org/resources/files/SBTiFLAGGuidance.pdf"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sciencebasedtargets.org/resources/files/SBTiFLAGMethodsAddendum.pdf" TargetMode="External"/><Relationship Id="rId7" Type="http://schemas.openxmlformats.org/officeDocument/2006/relationships/webSettings" Target="webSettings.xml"/><Relationship Id="rId12" Type="http://schemas.openxmlformats.org/officeDocument/2006/relationships/hyperlink" Target="https://ghgprotocol.org/land-sector-and-removals-guidance" TargetMode="External"/><Relationship Id="rId17" Type="http://schemas.openxmlformats.org/officeDocument/2006/relationships/hyperlink" Target="https://sciencebasedtargets.org/resources/files/SBTiFLAGGuidance.pdf"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sciencebasedtargets.org/resources/files/SBTiFLAGMethodsAddendum.pdf" TargetMode="External"/><Relationship Id="rId20" Type="http://schemas.openxmlformats.org/officeDocument/2006/relationships/hyperlink" Target="https://sciencebasedtargets.org/resources/files/SBTiFLAGTool.xls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sciencebasedtargets.org/" TargetMode="External"/><Relationship Id="rId24" Type="http://schemas.openxmlformats.org/officeDocument/2006/relationships/image" Target="media/image3.emf"/><Relationship Id="rId5" Type="http://schemas.openxmlformats.org/officeDocument/2006/relationships/styles" Target="styles.xml"/><Relationship Id="rId15" Type="http://schemas.openxmlformats.org/officeDocument/2006/relationships/hyperlink" Target="https://sciencebasedtargets.org/resources/files/SBTiFLAGGuidance.pdf" TargetMode="External"/><Relationship Id="rId23" Type="http://schemas.openxmlformats.org/officeDocument/2006/relationships/hyperlink" Target="https://models.pbl.nl/image/index.php/Region_classification_map" TargetMode="Externa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s://sciencebasedtargets.org/resources/files/SBTiFLAGGuidance.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sciencebasedtargets.org/sectors/forest-land-and-agriculture" TargetMode="External"/><Relationship Id="rId22" Type="http://schemas.openxmlformats.org/officeDocument/2006/relationships/image" Target="media/image2.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2e0ecf7-50d2-4a90-92a4-5d1f0e64587c" xsi:nil="true"/>
    <lcf76f155ced4ddcb4097134ff3c332f xmlns="c7304597-3181-4a17-9c99-7b2084b751a8">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DFA632D501FE43B02B1715DA86CAD9" ma:contentTypeVersion="16" ma:contentTypeDescription="Create a new document." ma:contentTypeScope="" ma:versionID="4c876533681f9bf0ad7b0fb50a98bf08">
  <xsd:schema xmlns:xsd="http://www.w3.org/2001/XMLSchema" xmlns:xs="http://www.w3.org/2001/XMLSchema" xmlns:p="http://schemas.microsoft.com/office/2006/metadata/properties" xmlns:ns2="c7304597-3181-4a17-9c99-7b2084b751a8" xmlns:ns3="82e0ecf7-50d2-4a90-92a4-5d1f0e64587c" targetNamespace="http://schemas.microsoft.com/office/2006/metadata/properties" ma:root="true" ma:fieldsID="d6c0f731e14e5075a15d685534349cef" ns2:_="" ns3:_="">
    <xsd:import namespace="c7304597-3181-4a17-9c99-7b2084b751a8"/>
    <xsd:import namespace="82e0ecf7-50d2-4a90-92a4-5d1f0e6458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304597-3181-4a17-9c99-7b2084b751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9c46228-acdf-4af8-8b84-c73aa49a30a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e0ecf7-50d2-4a90-92a4-5d1f0e6458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4dcfe1dc-7821-429d-8c89-ae2efbeda356}" ma:internalName="TaxCatchAll" ma:showField="CatchAllData" ma:web="82e0ecf7-50d2-4a90-92a4-5d1f0e64587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43DEA86-A9FE-4492-A6AB-AB8DF75DEB89}">
  <ds:schemaRefs>
    <ds:schemaRef ds:uri="http://schemas.microsoft.com/sharepoint/v3/contenttype/forms"/>
  </ds:schemaRefs>
</ds:datastoreItem>
</file>

<file path=customXml/itemProps2.xml><?xml version="1.0" encoding="utf-8"?>
<ds:datastoreItem xmlns:ds="http://schemas.openxmlformats.org/officeDocument/2006/customXml" ds:itemID="{8A65EF90-93A1-4522-8618-5B1AD897C64F}">
  <ds:schemaRefs>
    <ds:schemaRef ds:uri="http://schemas.microsoft.com/office/2006/metadata/properties"/>
    <ds:schemaRef ds:uri="http://schemas.microsoft.com/office/infopath/2007/PartnerControls"/>
    <ds:schemaRef ds:uri="82e0ecf7-50d2-4a90-92a4-5d1f0e64587c"/>
    <ds:schemaRef ds:uri="c7304597-3181-4a17-9c99-7b2084b751a8"/>
  </ds:schemaRefs>
</ds:datastoreItem>
</file>

<file path=customXml/itemProps3.xml><?xml version="1.0" encoding="utf-8"?>
<ds:datastoreItem xmlns:ds="http://schemas.openxmlformats.org/officeDocument/2006/customXml" ds:itemID="{55A8D5F3-656E-4B24-B6BC-25666FE995CB}"/>
</file>

<file path=docProps/app.xml><?xml version="1.0" encoding="utf-8"?>
<Properties xmlns="http://schemas.openxmlformats.org/officeDocument/2006/extended-properties" xmlns:vt="http://schemas.openxmlformats.org/officeDocument/2006/docPropsVTypes">
  <Template>Normal.dotm</Template>
  <TotalTime>149</TotalTime>
  <Pages>10</Pages>
  <Words>3144</Words>
  <Characters>17926</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Jones</dc:creator>
  <cp:keywords/>
  <dc:description/>
  <cp:lastModifiedBy>Casolaro, Chris</cp:lastModifiedBy>
  <cp:revision>208</cp:revision>
  <cp:lastPrinted>2019-10-18T11:13:00Z</cp:lastPrinted>
  <dcterms:created xsi:type="dcterms:W3CDTF">2020-03-04T10:38:00Z</dcterms:created>
  <dcterms:modified xsi:type="dcterms:W3CDTF">2023-07-14T19:45:00Z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0x01010095DFA632D501FE43B02B1715DA86CAD9</vt:lpwstr>
  </property>
  <property fmtid="{D5CDD505-2E9C-101B-9397-08002B2CF9AE}" pid="3" name="_dlc_DocIdItemGuid">
    <vt:lpwstr>8d2205b4-4c81-471b-977f-5ef999b90108</vt:lpwstr>
  </property>
  <property fmtid="{D5CDD505-2E9C-101B-9397-08002B2CF9AE}" pid="4" name="MediaServiceImageTags">
    <vt:lpwstr/>
  </property>
</Properties>
</file>